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966315" w:rsidRDefault="0034026C">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2914D6" w:rsidRDefault="002914D6">
            <w:pPr>
              <w:rPr>
                <w:rFonts w:ascii="Arial" w:hAnsi="Arial"/>
                <w:b/>
                <w:bCs/>
                <w:noProof w:val="0"/>
                <w:sz w:val="26"/>
                <w:szCs w:val="26"/>
              </w:rPr>
            </w:pPr>
          </w:p>
          <w:p w:rsidR="003717E2" w:rsidRDefault="00527EE6" w:rsidP="003717E2">
            <w:pPr>
              <w:pStyle w:val="ae"/>
              <w:numPr>
                <w:ilvl w:val="0"/>
                <w:numId w:val="2"/>
              </w:numPr>
              <w:rPr>
                <w:rtl/>
              </w:rPr>
            </w:pPr>
            <w:sdt>
              <w:sdtPr>
                <w:rPr>
                  <w:rFonts w:ascii="Arial" w:hAnsi="Arial"/>
                  <w:b/>
                  <w:bCs/>
                  <w:noProof w:val="0"/>
                  <w:sz w:val="26"/>
                  <w:szCs w:val="26"/>
                  <w:rtl/>
                </w:rPr>
                <w:alias w:val="1478"/>
                <w:tag w:val="1478"/>
                <w:id w:val="-2019765730"/>
                <w:text w:multiLine="1"/>
              </w:sdtPr>
              <w:sdtEndPr/>
              <w:sdtContent>
                <w:r w:rsidR="00775F80" w:rsidRPr="003717E2">
                  <w:rPr>
                    <w:rFonts w:ascii="Arial" w:hAnsi="Arial" w:hint="cs"/>
                    <w:b/>
                    <w:bCs/>
                    <w:noProof w:val="0"/>
                    <w:sz w:val="26"/>
                    <w:szCs w:val="26"/>
                    <w:rtl/>
                  </w:rPr>
                  <w:t>ע.ל.</w:t>
                </w:r>
              </w:sdtContent>
            </w:sdt>
            <w:r w:rsidR="00011212" w:rsidRPr="003717E2">
              <w:rPr>
                <w:rFonts w:ascii="Arial" w:hAnsi="Arial" w:hint="cs"/>
                <w:b/>
                <w:bCs/>
                <w:noProof w:val="0"/>
                <w:sz w:val="26"/>
                <w:szCs w:val="26"/>
                <w:rtl/>
              </w:rPr>
              <w:t xml:space="preserve"> </w:t>
            </w:r>
          </w:p>
          <w:p w:rsidR="002914D6" w:rsidRPr="003717E2" w:rsidRDefault="00527EE6" w:rsidP="003717E2">
            <w:pPr>
              <w:pStyle w:val="ae"/>
              <w:numPr>
                <w:ilvl w:val="0"/>
                <w:numId w:val="2"/>
              </w:numPr>
              <w:ind w:left="357" w:firstLine="3"/>
              <w:rPr>
                <w:noProof w:val="0"/>
                <w:sz w:val="26"/>
                <w:szCs w:val="26"/>
              </w:rPr>
            </w:pPr>
            <w:sdt>
              <w:sdtPr>
                <w:rPr>
                  <w:rFonts w:ascii="Arial" w:hAnsi="Arial"/>
                  <w:b/>
                  <w:bCs/>
                  <w:noProof w:val="0"/>
                  <w:sz w:val="26"/>
                  <w:szCs w:val="26"/>
                  <w:rtl/>
                </w:rPr>
                <w:alias w:val="1478"/>
                <w:tag w:val="1478"/>
                <w:id w:val="-1681188242"/>
                <w:text w:multiLine="1"/>
              </w:sdtPr>
              <w:sdtEndPr/>
              <w:sdtContent>
                <w:r w:rsidR="00775F80" w:rsidRPr="003717E2">
                  <w:rPr>
                    <w:rFonts w:ascii="Arial" w:hAnsi="Arial" w:hint="cs"/>
                    <w:b/>
                    <w:bCs/>
                    <w:noProof w:val="0"/>
                    <w:sz w:val="26"/>
                    <w:szCs w:val="26"/>
                    <w:rtl/>
                  </w:rPr>
                  <w:t>ש.ל.</w:t>
                </w:r>
              </w:sdtContent>
            </w:sdt>
            <w:r w:rsidR="00011212" w:rsidRPr="003717E2">
              <w:rPr>
                <w:rFonts w:ascii="Arial" w:hAnsi="Arial" w:hint="cs"/>
                <w:b/>
                <w:bCs/>
                <w:noProof w:val="0"/>
                <w:sz w:val="26"/>
                <w:szCs w:val="26"/>
                <w:rtl/>
              </w:rPr>
              <w:t xml:space="preserve"> </w:t>
            </w:r>
            <w:sdt>
              <w:sdtPr>
                <w:rPr>
                  <w:rFonts w:ascii="Arial" w:hAnsi="Arial"/>
                  <w:noProof w:val="0"/>
                  <w:sz w:val="26"/>
                  <w:szCs w:val="26"/>
                  <w:rtl/>
                </w:rPr>
                <w:alias w:val="2316"/>
                <w:tag w:val="2316"/>
                <w:id w:val="-1124765984"/>
                <w:text w:multiLine="1"/>
              </w:sdtPr>
              <w:sdtEndPr/>
              <w:sdtContent>
                <w:r w:rsidR="003717E2">
                  <w:rPr>
                    <w:rFonts w:ascii="Arial" w:hAnsi="Arial"/>
                    <w:noProof w:val="0"/>
                    <w:sz w:val="26"/>
                    <w:szCs w:val="26"/>
                    <w:rtl/>
                  </w:rPr>
                  <w:br/>
                </w:r>
                <w:r w:rsidR="002B08A8" w:rsidRPr="003717E2">
                  <w:rPr>
                    <w:rFonts w:ascii="Arial" w:hAnsi="Arial" w:hint="cs"/>
                    <w:noProof w:val="0"/>
                    <w:sz w:val="26"/>
                    <w:szCs w:val="26"/>
                    <w:rtl/>
                  </w:rPr>
                  <w:t xml:space="preserve">ע"י ב"כ עו"ד גיתית רמות אדלר ועו"ד אברהם שון, </w:t>
                </w:r>
                <w:r w:rsidR="003717E2" w:rsidRPr="003717E2">
                  <w:rPr>
                    <w:rFonts w:ascii="Arial" w:hAnsi="Arial" w:hint="cs"/>
                    <w:noProof w:val="0"/>
                    <w:sz w:val="26"/>
                    <w:szCs w:val="26"/>
                    <w:rtl/>
                  </w:rPr>
                  <w:t xml:space="preserve"> </w:t>
                </w:r>
                <w:r w:rsidR="002B08A8" w:rsidRPr="003717E2">
                  <w:rPr>
                    <w:rFonts w:ascii="Arial" w:hAnsi="Arial" w:hint="cs"/>
                    <w:noProof w:val="0"/>
                    <w:sz w:val="26"/>
                    <w:szCs w:val="26"/>
                    <w:rtl/>
                  </w:rPr>
                  <w:t>ממשרד עו"ד ארנון, תדמור</w:t>
                </w:r>
                <w:r w:rsidR="003717E2">
                  <w:rPr>
                    <w:rFonts w:ascii="Arial" w:hAnsi="Arial" w:hint="cs"/>
                    <w:noProof w:val="0"/>
                    <w:sz w:val="26"/>
                    <w:szCs w:val="26"/>
                    <w:rtl/>
                  </w:rPr>
                  <w:t xml:space="preserve"> </w:t>
                </w:r>
                <w:r w:rsidR="002B08A8" w:rsidRPr="003717E2">
                  <w:rPr>
                    <w:rFonts w:ascii="Arial" w:hAnsi="Arial" w:hint="cs"/>
                    <w:noProof w:val="0"/>
                    <w:sz w:val="26"/>
                    <w:szCs w:val="26"/>
                    <w:rtl/>
                  </w:rPr>
                  <w:t>לוי</w:t>
                </w:r>
              </w:sdtContent>
            </w:sdt>
          </w:p>
          <w:p w:rsidR="002914D6" w:rsidRDefault="00527EE6" w:rsidP="003717E2">
            <w:pPr>
              <w:pStyle w:val="ae"/>
              <w:numPr>
                <w:ilvl w:val="0"/>
                <w:numId w:val="2"/>
              </w:numPr>
              <w:rPr>
                <w:b/>
                <w:bCs/>
                <w:noProof w:val="0"/>
                <w:sz w:val="26"/>
                <w:szCs w:val="26"/>
              </w:rPr>
            </w:pPr>
            <w:sdt>
              <w:sdtPr>
                <w:rPr>
                  <w:rtl/>
                </w:rPr>
                <w:alias w:val="1478"/>
                <w:tag w:val="1478"/>
                <w:id w:val="-2007902238"/>
                <w:text w:multiLine="1"/>
              </w:sdtPr>
              <w:sdtEndPr/>
              <w:sdtContent>
                <w:r w:rsidR="00775F80">
                  <w:rPr>
                    <w:rFonts w:ascii="Arial" w:hAnsi="Arial" w:hint="cs"/>
                    <w:b/>
                    <w:bCs/>
                    <w:noProof w:val="0"/>
                    <w:sz w:val="26"/>
                    <w:szCs w:val="26"/>
                    <w:rtl/>
                  </w:rPr>
                  <w:t>י.ל.ח.</w:t>
                </w:r>
              </w:sdtContent>
            </w:sdt>
            <w:r w:rsidR="00011212">
              <w:rPr>
                <w:rFonts w:ascii="Arial" w:hAnsi="Arial" w:hint="cs"/>
                <w:b/>
                <w:bCs/>
                <w:noProof w:val="0"/>
                <w:sz w:val="26"/>
                <w:szCs w:val="26"/>
                <w:rtl/>
              </w:rPr>
              <w:t xml:space="preserve"> </w:t>
            </w:r>
          </w:p>
          <w:p w:rsidR="002914D6" w:rsidRDefault="002914D6">
            <w:pPr>
              <w:rPr>
                <w:b/>
                <w:bCs/>
                <w:noProof w:val="0"/>
                <w:sz w:val="26"/>
                <w:szCs w:val="26"/>
              </w:rPr>
            </w:pP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527EE6">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Default="00527EE6" w:rsidP="003717E2">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CC29C2">
                  <w:rPr>
                    <w:rFonts w:ascii="Arial" w:hAnsi="Arial"/>
                    <w:b/>
                    <w:bCs/>
                    <w:noProof w:val="0"/>
                    <w:sz w:val="26"/>
                    <w:szCs w:val="26"/>
                    <w:rtl/>
                  </w:rPr>
                  <w:t>האפוטרופוס הכללי במחוז ירושלים</w:t>
                </w:r>
              </w:sdtContent>
            </w:sdt>
            <w:r w:rsidR="00011212">
              <w:rPr>
                <w:rFonts w:ascii="Arial" w:hAnsi="Arial" w:hint="cs"/>
                <w:b/>
                <w:bCs/>
                <w:noProof w:val="0"/>
                <w:sz w:val="26"/>
                <w:szCs w:val="26"/>
                <w:rtl/>
              </w:rPr>
              <w:t xml:space="preserve"> </w:t>
            </w:r>
            <w:sdt>
              <w:sdtPr>
                <w:rPr>
                  <w:rtl/>
                </w:rPr>
                <w:alias w:val="2317"/>
                <w:tag w:val="2317"/>
                <w:id w:val="-2133776470"/>
                <w:showingPlcHdr/>
                <w:text w:multiLine="1"/>
              </w:sdtPr>
              <w:sdtEndPr/>
              <w:sdtContent>
                <w:r w:rsidR="003717E2">
                  <w:rPr>
                    <w:rtl/>
                  </w:rPr>
                  <w:t xml:space="preserve">     </w:t>
                </w:r>
              </w:sdtContent>
            </w:sdt>
            <w:r w:rsidR="00011212">
              <w:rPr>
                <w:rFonts w:ascii="Arial" w:hAnsi="Arial" w:hint="cs"/>
                <w:b/>
                <w:bCs/>
                <w:noProof w:val="0"/>
                <w:sz w:val="26"/>
                <w:szCs w:val="26"/>
                <w:rtl/>
              </w:rPr>
              <w:t xml:space="preserve"> </w:t>
            </w:r>
            <w:sdt>
              <w:sdtPr>
                <w:rPr>
                  <w:rtl/>
                </w:rPr>
                <w:alias w:val="2318"/>
                <w:tag w:val="2318"/>
                <w:id w:val="-282733546"/>
                <w:showingPlcHdr/>
                <w:text w:multiLine="1"/>
              </w:sdtPr>
              <w:sdtEndPr/>
              <w:sdtContent>
                <w:r w:rsidR="00DD37D8">
                  <w:rPr>
                    <w:rtl/>
                  </w:rPr>
                  <w:t xml:space="preserve">     </w:t>
                </w:r>
              </w:sdtContent>
            </w:sdt>
          </w:p>
          <w:p w:rsidR="002914D6" w:rsidRDefault="00527EE6" w:rsidP="003717E2">
            <w:pPr>
              <w:rPr>
                <w:b/>
                <w:bCs/>
                <w:noProof w:val="0"/>
                <w:sz w:val="26"/>
                <w:szCs w:val="26"/>
                <w:rtl/>
              </w:rPr>
            </w:pPr>
            <w:sdt>
              <w:sdtPr>
                <w:rPr>
                  <w:rtl/>
                </w:rPr>
                <w:alias w:val="1571"/>
                <w:tag w:val="1571"/>
                <w:id w:val="1287086349"/>
                <w:text w:multiLine="1"/>
              </w:sdtPr>
              <w:sdtEndPr/>
              <w:sdtContent>
                <w:r w:rsidR="00CC29C2">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2087070294"/>
                <w:text w:multiLine="1"/>
              </w:sdtPr>
              <w:sdtEndPr/>
              <w:sdtContent>
                <w:r w:rsidR="00CC29C2">
                  <w:rPr>
                    <w:rFonts w:ascii="Arial" w:hAnsi="Arial"/>
                    <w:b/>
                    <w:bCs/>
                    <w:noProof w:val="0"/>
                    <w:sz w:val="26"/>
                    <w:szCs w:val="26"/>
                    <w:rtl/>
                  </w:rPr>
                  <w:t>משרד הרווחה - לשכה משפטית ירושלים</w:t>
                </w:r>
              </w:sdtContent>
            </w:sdt>
            <w:r w:rsidR="00011212">
              <w:rPr>
                <w:rFonts w:ascii="Arial" w:hAnsi="Arial" w:hint="cs"/>
                <w:b/>
                <w:bCs/>
                <w:noProof w:val="0"/>
                <w:sz w:val="26"/>
                <w:szCs w:val="26"/>
                <w:rtl/>
              </w:rPr>
              <w:t xml:space="preserve"> </w:t>
            </w:r>
            <w:sdt>
              <w:sdtPr>
                <w:rPr>
                  <w:rtl/>
                </w:rPr>
                <w:alias w:val="2317"/>
                <w:tag w:val="2317"/>
                <w:id w:val="1393243366"/>
                <w:showingPlcHdr/>
                <w:text w:multiLine="1"/>
              </w:sdtPr>
              <w:sdtEndPr/>
              <w:sdtContent>
                <w:r w:rsidR="003717E2">
                  <w:rPr>
                    <w:rtl/>
                  </w:rPr>
                  <w:t xml:space="preserve">     </w:t>
                </w:r>
              </w:sdtContent>
            </w:sdt>
            <w:r w:rsidR="00011212">
              <w:rPr>
                <w:rFonts w:ascii="Arial" w:hAnsi="Arial" w:hint="cs"/>
                <w:b/>
                <w:bCs/>
                <w:noProof w:val="0"/>
                <w:sz w:val="26"/>
                <w:szCs w:val="26"/>
                <w:rtl/>
              </w:rPr>
              <w:t xml:space="preserve"> </w:t>
            </w:r>
            <w:sdt>
              <w:sdtPr>
                <w:rPr>
                  <w:rtl/>
                </w:rPr>
                <w:alias w:val="2318"/>
                <w:tag w:val="2318"/>
                <w:id w:val="-1081291916"/>
                <w:showingPlcHdr/>
                <w:text w:multiLine="1"/>
              </w:sdtPr>
              <w:sdtEndPr/>
              <w:sdtContent>
                <w:r w:rsidR="00775F80">
                  <w:rPr>
                    <w:rtl/>
                  </w:rPr>
                  <w:t xml:space="preserve">     </w:t>
                </w:r>
              </w:sdtContent>
            </w:sdt>
          </w:p>
          <w:p w:rsidR="002914D6" w:rsidRPr="003717E2" w:rsidRDefault="00527EE6" w:rsidP="003717E2">
            <w:pPr>
              <w:rPr>
                <w:b/>
                <w:bCs/>
                <w:noProof w:val="0"/>
                <w:sz w:val="26"/>
                <w:szCs w:val="26"/>
                <w:rtl/>
              </w:rPr>
            </w:pPr>
            <w:sdt>
              <w:sdtPr>
                <w:rPr>
                  <w:rtl/>
                </w:rPr>
                <w:alias w:val="1571"/>
                <w:tag w:val="1571"/>
                <w:id w:val="452760666"/>
                <w:text w:multiLine="1"/>
              </w:sdtPr>
              <w:sdtEndPr/>
              <w:sdtContent>
                <w:r w:rsidR="00CC29C2">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1759053680"/>
                <w:text w:multiLine="1"/>
              </w:sdtPr>
              <w:sdtEndPr/>
              <w:sdtContent>
                <w:r w:rsidR="00775F80">
                  <w:rPr>
                    <w:rFonts w:ascii="Arial" w:hAnsi="Arial" w:hint="cs"/>
                    <w:b/>
                    <w:bCs/>
                    <w:noProof w:val="0"/>
                    <w:sz w:val="26"/>
                    <w:szCs w:val="26"/>
                    <w:rtl/>
                  </w:rPr>
                  <w:t>ד.ל.</w:t>
                </w:r>
              </w:sdtContent>
            </w:sdt>
            <w:r w:rsidR="00011212">
              <w:rPr>
                <w:rFonts w:ascii="Arial" w:hAnsi="Arial" w:hint="cs"/>
                <w:b/>
                <w:bCs/>
                <w:noProof w:val="0"/>
                <w:sz w:val="26"/>
                <w:szCs w:val="26"/>
                <w:rtl/>
              </w:rPr>
              <w:t xml:space="preserve"> </w:t>
            </w:r>
            <w:sdt>
              <w:sdtPr>
                <w:rPr>
                  <w:sz w:val="26"/>
                  <w:szCs w:val="26"/>
                  <w:rtl/>
                </w:rPr>
                <w:alias w:val="2318"/>
                <w:tag w:val="2318"/>
                <w:id w:val="211092820"/>
                <w:text w:multiLine="1"/>
              </w:sdtPr>
              <w:sdtEndPr/>
              <w:sdtContent>
                <w:r w:rsidR="002B08A8" w:rsidRPr="003717E2">
                  <w:rPr>
                    <w:rFonts w:ascii="Arial" w:hAnsi="Arial"/>
                    <w:b/>
                    <w:bCs/>
                    <w:noProof w:val="0"/>
                    <w:sz w:val="26"/>
                    <w:szCs w:val="26"/>
                    <w:rtl/>
                  </w:rPr>
                  <w:br/>
                </w:r>
                <w:r w:rsidR="002B08A8" w:rsidRPr="003717E2">
                  <w:rPr>
                    <w:rFonts w:hint="cs"/>
                    <w:sz w:val="26"/>
                    <w:szCs w:val="26"/>
                    <w:rtl/>
                  </w:rPr>
                  <w:t>ע"י ב"כ עו"ד אבישי חלפון</w:t>
                </w:r>
                <w:r w:rsidR="003717E2" w:rsidRPr="003717E2">
                  <w:rPr>
                    <w:rFonts w:hint="cs"/>
                    <w:sz w:val="26"/>
                    <w:szCs w:val="26"/>
                    <w:rtl/>
                  </w:rPr>
                  <w:t xml:space="preserve"> </w:t>
                </w:r>
                <w:r w:rsidR="003717E2" w:rsidRPr="003717E2">
                  <w:rPr>
                    <w:sz w:val="26"/>
                    <w:szCs w:val="26"/>
                    <w:rtl/>
                  </w:rPr>
                  <w:br/>
                </w:r>
                <w:r w:rsidR="003717E2" w:rsidRPr="003717E2">
                  <w:rPr>
                    <w:rFonts w:hint="cs"/>
                    <w:sz w:val="26"/>
                    <w:szCs w:val="26"/>
                    <w:rtl/>
                  </w:rPr>
                  <w:t>ממשרד עו"ד</w:t>
                </w:r>
                <w:r w:rsidR="003717E2">
                  <w:rPr>
                    <w:rFonts w:hint="cs"/>
                    <w:sz w:val="26"/>
                    <w:szCs w:val="26"/>
                    <w:rtl/>
                  </w:rPr>
                  <w:t xml:space="preserve"> גולדפרב גרוס זליגמן ושות'</w:t>
                </w:r>
                <w:r w:rsidR="003717E2" w:rsidRPr="003717E2">
                  <w:rPr>
                    <w:rFonts w:hint="cs"/>
                    <w:sz w:val="26"/>
                    <w:szCs w:val="26"/>
                    <w:rtl/>
                  </w:rPr>
                  <w:t xml:space="preserve"> </w:t>
                </w:r>
              </w:sdtContent>
            </w:sdt>
          </w:p>
          <w:p w:rsidR="002914D6" w:rsidRDefault="00527EE6" w:rsidP="00DD37D8">
            <w:pPr>
              <w:rPr>
                <w:b/>
                <w:bCs/>
                <w:noProof w:val="0"/>
                <w:sz w:val="26"/>
                <w:szCs w:val="26"/>
                <w:rtl/>
              </w:rPr>
            </w:pPr>
            <w:sdt>
              <w:sdtPr>
                <w:rPr>
                  <w:rtl/>
                </w:rPr>
                <w:alias w:val="1571"/>
                <w:tag w:val="1571"/>
                <w:id w:val="-1458631393"/>
                <w:showingPlcHdr/>
                <w:text w:multiLine="1"/>
              </w:sdtPr>
              <w:sdtEndPr/>
              <w:sdtContent>
                <w:r w:rsidR="00DD37D8">
                  <w:rPr>
                    <w:rtl/>
                  </w:rPr>
                  <w:t xml:space="preserve">     </w:t>
                </w:r>
              </w:sdtContent>
            </w:sdt>
          </w:p>
          <w:p w:rsidR="002914D6" w:rsidRDefault="002914D6">
            <w:pPr>
              <w:rPr>
                <w:b/>
                <w:bCs/>
                <w:noProof w:val="0"/>
                <w:sz w:val="26"/>
                <w:szCs w:val="26"/>
                <w:rtl/>
              </w:rPr>
            </w:pPr>
          </w:p>
        </w:tc>
      </w:tr>
      <w:tr w:rsidR="00DA714E" w:rsidTr="00020144">
        <w:tc>
          <w:tcPr>
            <w:tcW w:w="8820" w:type="dxa"/>
            <w:gridSpan w:val="3"/>
          </w:tcPr>
          <w:p w:rsidR="00DA714E" w:rsidRDefault="00DA714E" w:rsidP="003717E2">
            <w:pPr>
              <w:rPr>
                <w:b/>
                <w:bCs/>
                <w:sz w:val="26"/>
                <w:szCs w:val="26"/>
              </w:rPr>
            </w:pPr>
            <w:r>
              <w:rPr>
                <w:rFonts w:hint="cs"/>
                <w:b/>
                <w:bCs/>
                <w:rtl/>
              </w:rPr>
              <w:t xml:space="preserve"> </w:t>
            </w:r>
            <w:r>
              <w:rPr>
                <w:rFonts w:hint="cs"/>
                <w:b/>
                <w:bCs/>
                <w:sz w:val="26"/>
                <w:szCs w:val="26"/>
                <w:rtl/>
              </w:rPr>
              <w:t>בעניין</w:t>
            </w:r>
            <w:r w:rsidR="00DD37D8">
              <w:rPr>
                <w:rFonts w:hint="cs"/>
                <w:b/>
                <w:bCs/>
                <w:sz w:val="26"/>
                <w:szCs w:val="26"/>
                <w:rtl/>
              </w:rPr>
              <w:t>:</w:t>
            </w:r>
            <w:r>
              <w:rPr>
                <w:rFonts w:hint="cs"/>
                <w:b/>
                <w:bCs/>
                <w:sz w:val="26"/>
                <w:szCs w:val="26"/>
                <w:rtl/>
              </w:rPr>
              <w:t xml:space="preserve"> </w:t>
            </w:r>
            <w:sdt>
              <w:sdtPr>
                <w:rPr>
                  <w:rFonts w:hint="cs"/>
                  <w:b/>
                  <w:bCs/>
                  <w:sz w:val="26"/>
                  <w:szCs w:val="26"/>
                  <w:rtl/>
                </w:rPr>
                <w:alias w:val="2881"/>
                <w:tag w:val="2881"/>
                <w:id w:val="1196428566"/>
                <w:placeholder>
                  <w:docPart w:val="D226355B8FC143C4AE034FC61652350B"/>
                </w:placeholder>
                <w:text w:multiLine="1"/>
              </w:sdtPr>
              <w:sdtEndPr/>
              <w:sdtContent>
                <w:r>
                  <w:rPr>
                    <w:rFonts w:hint="cs"/>
                    <w:b/>
                    <w:bCs/>
                    <w:sz w:val="26"/>
                    <w:szCs w:val="26"/>
                    <w:rtl/>
                  </w:rPr>
                  <w:t>אדם שמונה לו אפוטרופוס</w:t>
                </w:r>
              </w:sdtContent>
            </w:sdt>
            <w:r>
              <w:rPr>
                <w:rFonts w:hint="cs"/>
                <w:b/>
                <w:bCs/>
                <w:sz w:val="26"/>
                <w:szCs w:val="26"/>
                <w:rtl/>
              </w:rPr>
              <w:t xml:space="preserve"> </w:t>
            </w:r>
            <w:sdt>
              <w:sdtPr>
                <w:rPr>
                  <w:rFonts w:hint="cs"/>
                  <w:b/>
                  <w:bCs/>
                  <w:sz w:val="26"/>
                  <w:szCs w:val="26"/>
                  <w:rtl/>
                </w:rPr>
                <w:alias w:val="2878"/>
                <w:tag w:val="2878"/>
                <w:id w:val="1597057908"/>
                <w:placeholder>
                  <w:docPart w:val="D2C72CE347744E45986B915AB65134DF"/>
                </w:placeholder>
                <w:text w:multiLine="1"/>
              </w:sdtPr>
              <w:sdtEndPr/>
              <w:sdtContent>
                <w:r w:rsidR="00775F80">
                  <w:rPr>
                    <w:rFonts w:hint="cs"/>
                    <w:b/>
                    <w:bCs/>
                    <w:sz w:val="26"/>
                    <w:szCs w:val="26"/>
                    <w:rtl/>
                  </w:rPr>
                  <w:t>ר.ל.</w:t>
                </w:r>
              </w:sdtContent>
            </w:sdt>
          </w:p>
          <w:p w:rsidR="00F65365" w:rsidRDefault="00F65365" w:rsidP="00A06DB6">
            <w:pPr>
              <w:rPr>
                <w:rFonts w:ascii="Arial" w:hAnsi="Arial"/>
                <w:b/>
                <w:bCs/>
                <w:noProof w:val="0"/>
                <w:sz w:val="26"/>
                <w:szCs w:val="26"/>
                <w:rtl/>
              </w:rPr>
            </w:pPr>
          </w:p>
          <w:p w:rsidR="00DA714E" w:rsidRPr="00DD37D8" w:rsidRDefault="00DD37D8" w:rsidP="00F65365">
            <w:pPr>
              <w:rPr>
                <w:rFonts w:ascii="Arial" w:hAnsi="Arial"/>
                <w:noProof w:val="0"/>
                <w:sz w:val="26"/>
                <w:szCs w:val="26"/>
                <w:rtl/>
              </w:rPr>
            </w:pPr>
            <w:r>
              <w:rPr>
                <w:rFonts w:ascii="Arial" w:hAnsi="Arial" w:hint="cs"/>
                <w:b/>
                <w:bCs/>
                <w:noProof w:val="0"/>
                <w:sz w:val="26"/>
                <w:szCs w:val="26"/>
                <w:rtl/>
              </w:rPr>
              <w:t xml:space="preserve">              </w:t>
            </w:r>
            <w:r w:rsidRPr="00F65365">
              <w:rPr>
                <w:rFonts w:ascii="Arial" w:hAnsi="Arial" w:hint="cs"/>
                <w:noProof w:val="0"/>
                <w:sz w:val="26"/>
                <w:szCs w:val="26"/>
                <w:rtl/>
              </w:rPr>
              <w:t>באמצעות</w:t>
            </w:r>
            <w:r w:rsidRPr="00F65365">
              <w:rPr>
                <w:rFonts w:ascii="Arial" w:hAnsi="Arial"/>
                <w:noProof w:val="0"/>
                <w:sz w:val="26"/>
                <w:szCs w:val="26"/>
                <w:rtl/>
              </w:rPr>
              <w:t xml:space="preserve"> </w:t>
            </w:r>
            <w:sdt>
              <w:sdtPr>
                <w:rPr>
                  <w:rFonts w:ascii="Arial" w:hAnsi="Arial"/>
                  <w:noProof w:val="0"/>
                  <w:sz w:val="26"/>
                  <w:szCs w:val="26"/>
                  <w:rtl/>
                </w:rPr>
                <w:alias w:val="1486"/>
                <w:tag w:val="1486"/>
                <w:id w:val="-1482684456"/>
                <w:text w:multiLine="1"/>
              </w:sdtPr>
              <w:sdtEndPr/>
              <w:sdtContent>
                <w:r w:rsidR="00A06DB6" w:rsidRPr="00F65365">
                  <w:rPr>
                    <w:rFonts w:ascii="Arial" w:hAnsi="Arial"/>
                    <w:noProof w:val="0"/>
                    <w:sz w:val="26"/>
                    <w:szCs w:val="26"/>
                    <w:rtl/>
                  </w:rPr>
                  <w:t>האפוטרופסית לדין- עוה"ד מיכל כהן-קורינ</w:t>
                </w:r>
                <w:r w:rsidR="00F65365">
                  <w:rPr>
                    <w:rFonts w:ascii="Arial" w:hAnsi="Arial"/>
                    <w:noProof w:val="0"/>
                    <w:sz w:val="26"/>
                    <w:szCs w:val="26"/>
                    <w:rtl/>
                  </w:rPr>
                  <w:t>א</w:t>
                </w:r>
                <w:r w:rsidR="00A06DB6" w:rsidRPr="00F65365">
                  <w:rPr>
                    <w:rFonts w:ascii="Arial" w:hAnsi="Arial"/>
                    <w:noProof w:val="0"/>
                    <w:sz w:val="26"/>
                    <w:szCs w:val="26"/>
                    <w:rtl/>
                  </w:rPr>
                  <w:t xml:space="preserve">לדי </w:t>
                </w:r>
                <w:r w:rsidR="000821B0">
                  <w:rPr>
                    <w:rFonts w:ascii="Arial" w:hAnsi="Arial"/>
                    <w:noProof w:val="0"/>
                    <w:sz w:val="26"/>
                    <w:szCs w:val="26"/>
                    <w:rtl/>
                  </w:rPr>
                  <w:br/>
                  <w:t xml:space="preserve">              וכן באמצעות המרכז ה</w:t>
                </w:r>
                <w:r w:rsidR="00EB09A6">
                  <w:rPr>
                    <w:rFonts w:ascii="Arial" w:hAnsi="Arial"/>
                    <w:noProof w:val="0"/>
                    <w:sz w:val="26"/>
                    <w:szCs w:val="26"/>
                    <w:rtl/>
                  </w:rPr>
                  <w:t>ישראלי</w:t>
                </w:r>
                <w:r w:rsidR="000821B0">
                  <w:rPr>
                    <w:rFonts w:ascii="Arial" w:hAnsi="Arial"/>
                    <w:noProof w:val="0"/>
                    <w:sz w:val="26"/>
                    <w:szCs w:val="26"/>
                    <w:rtl/>
                  </w:rPr>
                  <w:t xml:space="preserve"> </w:t>
                </w:r>
                <w:r w:rsidR="005E2920">
                  <w:rPr>
                    <w:rFonts w:ascii="Arial" w:hAnsi="Arial" w:hint="cs"/>
                    <w:noProof w:val="0"/>
                    <w:sz w:val="26"/>
                    <w:szCs w:val="26"/>
                    <w:rtl/>
                  </w:rPr>
                  <w:t>לאפוטרופסו</w:t>
                </w:r>
                <w:r w:rsidR="005E2920">
                  <w:rPr>
                    <w:rFonts w:ascii="Arial" w:hAnsi="Arial" w:hint="eastAsia"/>
                    <w:noProof w:val="0"/>
                    <w:sz w:val="26"/>
                    <w:szCs w:val="26"/>
                    <w:rtl/>
                  </w:rPr>
                  <w:t>ת</w:t>
                </w:r>
                <w:r w:rsidR="000821B0">
                  <w:rPr>
                    <w:rFonts w:ascii="Arial" w:hAnsi="Arial"/>
                    <w:noProof w:val="0"/>
                    <w:sz w:val="26"/>
                    <w:szCs w:val="26"/>
                    <w:rtl/>
                  </w:rPr>
                  <w:t xml:space="preserve"> – אפוטרופוס זמני לכלל ענייניה</w:t>
                </w:r>
                <w:r w:rsidR="00F65365" w:rsidRPr="00F65365">
                  <w:rPr>
                    <w:rFonts w:ascii="Arial" w:hAnsi="Arial"/>
                    <w:noProof w:val="0"/>
                    <w:sz w:val="26"/>
                    <w:szCs w:val="26"/>
                    <w:rtl/>
                  </w:rPr>
                  <w:br/>
                </w:r>
                <w:r w:rsidR="00A06DB6" w:rsidRPr="00F65365">
                  <w:rPr>
                    <w:rFonts w:ascii="Arial" w:hAnsi="Arial"/>
                    <w:noProof w:val="0"/>
                    <w:sz w:val="26"/>
                    <w:szCs w:val="26"/>
                    <w:rtl/>
                  </w:rPr>
                  <w:br/>
                  <w:t xml:space="preserve">      </w:t>
                </w:r>
              </w:sdtContent>
            </w:sdt>
          </w:p>
        </w:tc>
      </w:tr>
    </w:tbl>
    <w:p w:rsidR="002914D6" w:rsidRPr="00DD37D8"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DD37D8" w:rsidRPr="00DD37D8" w:rsidRDefault="00AC3440" w:rsidP="00483067">
      <w:pPr>
        <w:spacing w:after="160" w:line="360" w:lineRule="auto"/>
        <w:contextualSpacing/>
        <w:jc w:val="both"/>
        <w:rPr>
          <w:rFonts w:ascii="David" w:eastAsia="Calibri" w:hAnsi="David"/>
          <w:b/>
          <w:bCs/>
          <w:noProof w:val="0"/>
        </w:rPr>
      </w:pPr>
      <w:r>
        <w:rPr>
          <w:rFonts w:ascii="David" w:eastAsia="Calibri" w:hAnsi="David" w:hint="cs"/>
          <w:b/>
          <w:bCs/>
          <w:noProof w:val="0"/>
          <w:rtl/>
        </w:rPr>
        <w:t>מה</w:t>
      </w:r>
      <w:r w:rsidR="00483067">
        <w:rPr>
          <w:rFonts w:ascii="David" w:eastAsia="Calibri" w:hAnsi="David" w:hint="cs"/>
          <w:b/>
          <w:bCs/>
          <w:noProof w:val="0"/>
          <w:rtl/>
        </w:rPr>
        <w:t>ו היקף תחולתו של</w:t>
      </w:r>
      <w:r w:rsidR="00DD37D8" w:rsidRPr="00DD37D8">
        <w:rPr>
          <w:rFonts w:ascii="David" w:eastAsia="Calibri" w:hAnsi="David"/>
          <w:b/>
          <w:bCs/>
          <w:noProof w:val="0"/>
          <w:rtl/>
        </w:rPr>
        <w:t xml:space="preserve"> חיסיון עורך דין-לקוח ביחסים שבין עורך הדין שערך ייפוי כוח מתמשך לבין הממנה, בשלב בו נבחן תוקפו של ייפוי הכוח המתמשך (בדיעבד), לאחר שהממנה לא כשיר עוד להביע עמדתו לעניין זה? </w:t>
      </w:r>
    </w:p>
    <w:p w:rsidR="00DD37D8" w:rsidRPr="00DD37D8" w:rsidRDefault="00DD37D8" w:rsidP="00DD37D8">
      <w:pPr>
        <w:spacing w:line="360" w:lineRule="auto"/>
        <w:ind w:left="720"/>
        <w:contextualSpacing/>
        <w:jc w:val="both"/>
        <w:rPr>
          <w:rFonts w:ascii="David" w:eastAsia="Calibri" w:hAnsi="David"/>
          <w:b/>
          <w:bCs/>
          <w:noProof w:val="0"/>
        </w:rPr>
      </w:pPr>
    </w:p>
    <w:p w:rsidR="00DD37D8" w:rsidRDefault="00DD37D8" w:rsidP="002B08A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במסגרת הליך ביטול של ייפוי כוח מתמשך בו נקטו חלק מילדיה של הגב' </w:t>
      </w:r>
      <w:r w:rsidR="00775F80">
        <w:rPr>
          <w:rFonts w:ascii="David" w:eastAsia="Calibri" w:hAnsi="David" w:hint="cs"/>
          <w:noProof w:val="0"/>
          <w:rtl/>
        </w:rPr>
        <w:t>ר.ל.</w:t>
      </w:r>
      <w:r w:rsidR="00B237A1">
        <w:rPr>
          <w:rFonts w:ascii="David" w:eastAsia="Calibri" w:hAnsi="David" w:hint="cs"/>
          <w:noProof w:val="0"/>
          <w:rtl/>
        </w:rPr>
        <w:t xml:space="preserve"> (המבקשים 1-3)</w:t>
      </w:r>
      <w:r w:rsidRPr="00DD37D8">
        <w:rPr>
          <w:rFonts w:ascii="David" w:eastAsia="Calibri" w:hAnsi="David"/>
          <w:noProof w:val="0"/>
          <w:rtl/>
        </w:rPr>
        <w:t xml:space="preserve">, זומן לעדות עורך הדין שערך את ייפוי הכוח המתמשך – עו"ד </w:t>
      </w:r>
      <w:r w:rsidR="002B08A8" w:rsidRPr="0019449B">
        <w:rPr>
          <w:rFonts w:ascii="David" w:eastAsia="Calibri" w:hAnsi="David" w:hint="cs"/>
          <w:noProof w:val="0"/>
          <w:rtl/>
        </w:rPr>
        <w:t>א'</w:t>
      </w:r>
      <w:r w:rsidRPr="00DD37D8">
        <w:rPr>
          <w:rFonts w:ascii="David" w:eastAsia="Calibri" w:hAnsi="David"/>
          <w:noProof w:val="0"/>
          <w:rtl/>
        </w:rPr>
        <w:t>, אלא שבתחילת חקירתו התנגד עו</w:t>
      </w:r>
      <w:r w:rsidR="00F65365">
        <w:rPr>
          <w:rFonts w:ascii="David" w:eastAsia="Calibri" w:hAnsi="David" w:hint="cs"/>
          <w:noProof w:val="0"/>
          <w:rtl/>
        </w:rPr>
        <w:t>רך הדין</w:t>
      </w:r>
      <w:r w:rsidRPr="00DD37D8">
        <w:rPr>
          <w:rFonts w:ascii="David" w:eastAsia="Calibri" w:hAnsi="David"/>
          <w:noProof w:val="0"/>
          <w:rtl/>
        </w:rPr>
        <w:t xml:space="preserve"> להעיד אודות נסיבות עריכת ייפוי הכוח המתמשך</w:t>
      </w:r>
      <w:r w:rsidR="00B237A1">
        <w:rPr>
          <w:rFonts w:ascii="David" w:eastAsia="Calibri" w:hAnsi="David" w:hint="cs"/>
          <w:noProof w:val="0"/>
          <w:rtl/>
        </w:rPr>
        <w:t>,</w:t>
      </w:r>
      <w:r w:rsidRPr="00DD37D8">
        <w:rPr>
          <w:rFonts w:ascii="David" w:eastAsia="Calibri" w:hAnsi="David"/>
          <w:noProof w:val="0"/>
          <w:rtl/>
        </w:rPr>
        <w:t xml:space="preserve"> מטעמי "</w:t>
      </w:r>
      <w:r w:rsidRPr="00DD37D8">
        <w:rPr>
          <w:rFonts w:ascii="David" w:eastAsia="Calibri" w:hAnsi="David"/>
          <w:b/>
          <w:bCs/>
          <w:noProof w:val="0"/>
          <w:rtl/>
        </w:rPr>
        <w:t>חיסיון עורך דין לקוח</w:t>
      </w:r>
      <w:r w:rsidRPr="00DD37D8">
        <w:rPr>
          <w:rFonts w:ascii="David" w:eastAsia="Calibri" w:hAnsi="David"/>
          <w:noProof w:val="0"/>
          <w:rtl/>
        </w:rPr>
        <w:t>" (ראו עמ' 72 ש' 24-26 לפרוט').</w:t>
      </w:r>
    </w:p>
    <w:p w:rsidR="0091776A" w:rsidRDefault="0091776A" w:rsidP="0091776A">
      <w:pPr>
        <w:spacing w:after="160" w:line="360" w:lineRule="auto"/>
        <w:ind w:left="720"/>
        <w:contextualSpacing/>
        <w:jc w:val="both"/>
        <w:rPr>
          <w:rFonts w:ascii="David" w:eastAsia="Calibri" w:hAnsi="David"/>
          <w:noProof w:val="0"/>
        </w:rPr>
      </w:pPr>
    </w:p>
    <w:p w:rsidR="0091776A" w:rsidRPr="00DD37D8" w:rsidRDefault="0091776A" w:rsidP="00775F80">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lastRenderedPageBreak/>
        <w:t xml:space="preserve">אין מחלוקת בין הצדדים כי כיום הגב' </w:t>
      </w:r>
      <w:r w:rsidR="00775F80">
        <w:rPr>
          <w:rFonts w:ascii="David" w:eastAsia="Calibri" w:hAnsi="David" w:hint="cs"/>
          <w:noProof w:val="0"/>
          <w:rtl/>
        </w:rPr>
        <w:t>ל'</w:t>
      </w:r>
      <w:r>
        <w:rPr>
          <w:rFonts w:ascii="David" w:eastAsia="Calibri" w:hAnsi="David" w:hint="cs"/>
          <w:noProof w:val="0"/>
          <w:rtl/>
        </w:rPr>
        <w:t xml:space="preserve"> </w:t>
      </w:r>
      <w:r w:rsidRPr="00A670EC">
        <w:rPr>
          <w:rFonts w:ascii="David" w:eastAsia="Calibri" w:hAnsi="David" w:hint="cs"/>
          <w:b/>
          <w:bCs/>
          <w:noProof w:val="0"/>
          <w:rtl/>
        </w:rPr>
        <w:t>אינה כשירה</w:t>
      </w:r>
      <w:r>
        <w:rPr>
          <w:rFonts w:ascii="David" w:eastAsia="Calibri" w:hAnsi="David" w:hint="cs"/>
          <w:noProof w:val="0"/>
          <w:rtl/>
        </w:rPr>
        <w:t xml:space="preserve">, ובהתאם להחלטתי מיום </w:t>
      </w:r>
      <w:r w:rsidR="000821B0" w:rsidRPr="00DD37D8">
        <w:rPr>
          <w:rFonts w:ascii="David" w:eastAsia="Calibri" w:hAnsi="David"/>
          <w:noProof w:val="0"/>
          <w:rtl/>
        </w:rPr>
        <w:t xml:space="preserve">16.1.24 בתיק 17851-04-23 </w:t>
      </w:r>
      <w:r>
        <w:rPr>
          <w:rFonts w:ascii="David" w:eastAsia="Calibri" w:hAnsi="David" w:hint="cs"/>
          <w:noProof w:val="0"/>
          <w:rtl/>
        </w:rPr>
        <w:t>המרכז ה</w:t>
      </w:r>
      <w:r w:rsidR="00EB09A6">
        <w:rPr>
          <w:rFonts w:ascii="David" w:eastAsia="Calibri" w:hAnsi="David" w:hint="cs"/>
          <w:noProof w:val="0"/>
          <w:rtl/>
        </w:rPr>
        <w:t>ישראלי</w:t>
      </w:r>
      <w:r>
        <w:rPr>
          <w:rFonts w:ascii="David" w:eastAsia="Calibri" w:hAnsi="David" w:hint="cs"/>
          <w:noProof w:val="0"/>
          <w:rtl/>
        </w:rPr>
        <w:t xml:space="preserve"> לאפוטרופסות מונה </w:t>
      </w:r>
      <w:r w:rsidR="000821B0">
        <w:rPr>
          <w:rFonts w:ascii="David" w:eastAsia="Calibri" w:hAnsi="David" w:hint="cs"/>
          <w:noProof w:val="0"/>
          <w:rtl/>
        </w:rPr>
        <w:t>כ</w:t>
      </w:r>
      <w:r>
        <w:rPr>
          <w:rFonts w:ascii="David" w:eastAsia="Calibri" w:hAnsi="David" w:hint="cs"/>
          <w:noProof w:val="0"/>
          <w:rtl/>
        </w:rPr>
        <w:t xml:space="preserve">אפוטרופוס זמני לכלל עניינה </w:t>
      </w:r>
      <w:r w:rsidR="000821B0">
        <w:rPr>
          <w:rFonts w:ascii="David" w:eastAsia="Calibri" w:hAnsi="David" w:hint="cs"/>
          <w:noProof w:val="0"/>
          <w:rtl/>
        </w:rPr>
        <w:t>למשך 6 חודשים.</w:t>
      </w:r>
    </w:p>
    <w:p w:rsidR="00DD37D8" w:rsidRPr="00DD37D8" w:rsidRDefault="00DD37D8" w:rsidP="00DD37D8">
      <w:pPr>
        <w:spacing w:after="160" w:line="256" w:lineRule="auto"/>
        <w:ind w:left="720"/>
        <w:contextualSpacing/>
        <w:jc w:val="both"/>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לנוכח האמור התבקשה בדיון עמדת </w:t>
      </w:r>
      <w:r w:rsidRPr="00DD37D8">
        <w:rPr>
          <w:rFonts w:ascii="David" w:eastAsia="Calibri" w:hAnsi="David"/>
          <w:b/>
          <w:bCs/>
          <w:noProof w:val="0"/>
          <w:rtl/>
        </w:rPr>
        <w:t>האפוטרופסית</w:t>
      </w:r>
      <w:r w:rsidRPr="00DD37D8">
        <w:rPr>
          <w:rFonts w:ascii="David" w:eastAsia="Calibri" w:hAnsi="David"/>
          <w:noProof w:val="0"/>
          <w:rtl/>
        </w:rPr>
        <w:t xml:space="preserve"> </w:t>
      </w:r>
      <w:r w:rsidRPr="00DD37D8">
        <w:rPr>
          <w:rFonts w:ascii="David" w:eastAsia="Calibri" w:hAnsi="David"/>
          <w:b/>
          <w:bCs/>
          <w:noProof w:val="0"/>
          <w:rtl/>
        </w:rPr>
        <w:t>לדין</w:t>
      </w:r>
      <w:r w:rsidRPr="00DD37D8">
        <w:rPr>
          <w:rFonts w:ascii="David" w:eastAsia="Calibri" w:hAnsi="David"/>
          <w:noProof w:val="0"/>
          <w:rtl/>
        </w:rPr>
        <w:t xml:space="preserve"> שמונתה לייצג את האם במסגרת ההליכים הנדונים בין ילדיה</w:t>
      </w:r>
      <w:r w:rsidR="00A670EC">
        <w:rPr>
          <w:rFonts w:ascii="David" w:eastAsia="Calibri" w:hAnsi="David" w:hint="cs"/>
          <w:noProof w:val="0"/>
          <w:rtl/>
        </w:rPr>
        <w:t xml:space="preserve"> בסוגיית החיסיון</w:t>
      </w:r>
      <w:r w:rsidRPr="00DD37D8">
        <w:rPr>
          <w:rFonts w:ascii="David" w:eastAsia="Calibri" w:hAnsi="David"/>
          <w:noProof w:val="0"/>
          <w:rtl/>
        </w:rPr>
        <w:t>.</w:t>
      </w:r>
    </w:p>
    <w:p w:rsidR="00DD37D8" w:rsidRPr="00DD37D8" w:rsidRDefault="00DD37D8" w:rsidP="00DD37D8">
      <w:pPr>
        <w:spacing w:line="360" w:lineRule="auto"/>
        <w:ind w:left="720"/>
        <w:contextualSpacing/>
        <w:jc w:val="both"/>
        <w:rPr>
          <w:rFonts w:ascii="David" w:eastAsia="Calibri" w:hAnsi="David"/>
          <w:noProof w:val="0"/>
        </w:rPr>
      </w:pPr>
    </w:p>
    <w:p w:rsid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האפוטרופסית לדין טענה בדיון כי אין בידה סמכות להסיר החיסיון בשם הגב' </w:t>
      </w:r>
      <w:r w:rsidR="00775F80">
        <w:rPr>
          <w:rFonts w:ascii="David" w:eastAsia="Calibri" w:hAnsi="David" w:hint="cs"/>
          <w:noProof w:val="0"/>
          <w:rtl/>
        </w:rPr>
        <w:t>ל'</w:t>
      </w:r>
      <w:r w:rsidRPr="00DD37D8">
        <w:rPr>
          <w:rFonts w:ascii="David" w:eastAsia="Calibri" w:hAnsi="David"/>
          <w:noProof w:val="0"/>
          <w:rtl/>
        </w:rPr>
        <w:t xml:space="preserve">, כי הדבר "חורג מגבולות תפקידי" (עמ' 88 ש' 1-3, 6-8, 32-36 לפרוט'), והעלתה אפשרות כי </w:t>
      </w:r>
      <w:r w:rsidRPr="00DD37D8">
        <w:rPr>
          <w:rFonts w:ascii="David" w:eastAsia="Calibri" w:hAnsi="David"/>
          <w:b/>
          <w:bCs/>
          <w:noProof w:val="0"/>
          <w:rtl/>
        </w:rPr>
        <w:t>האפוטרופוס הזמני</w:t>
      </w:r>
      <w:r w:rsidRPr="00DD37D8">
        <w:rPr>
          <w:rFonts w:ascii="David" w:eastAsia="Calibri" w:hAnsi="David"/>
          <w:noProof w:val="0"/>
          <w:rtl/>
        </w:rPr>
        <w:t xml:space="preserve"> שמונה לגב' </w:t>
      </w:r>
      <w:r w:rsidR="00775F80">
        <w:rPr>
          <w:rFonts w:ascii="David" w:eastAsia="Calibri" w:hAnsi="David" w:hint="cs"/>
          <w:noProof w:val="0"/>
          <w:rtl/>
        </w:rPr>
        <w:t>ל'</w:t>
      </w:r>
      <w:r w:rsidRPr="00DD37D8">
        <w:rPr>
          <w:rFonts w:ascii="David" w:eastAsia="Calibri" w:hAnsi="David"/>
          <w:noProof w:val="0"/>
          <w:rtl/>
        </w:rPr>
        <w:t xml:space="preserve"> לענייניה האישיים יביע עמדתו בסוגיית החיסיון. (עמ' 91 ש' 26-33 לפרוט').</w:t>
      </w:r>
    </w:p>
    <w:p w:rsidR="00F65365" w:rsidRDefault="00F65365" w:rsidP="00F65365">
      <w:pPr>
        <w:pStyle w:val="ae"/>
        <w:rPr>
          <w:rFonts w:ascii="David" w:eastAsia="Calibri" w:hAnsi="David"/>
          <w:noProof w:val="0"/>
          <w:rtl/>
        </w:rPr>
      </w:pPr>
    </w:p>
    <w:p w:rsidR="00A670EC" w:rsidRDefault="00F65365" w:rsidP="00A670EC">
      <w:pPr>
        <w:numPr>
          <w:ilvl w:val="0"/>
          <w:numId w:val="1"/>
        </w:numPr>
        <w:spacing w:after="160" w:line="360" w:lineRule="auto"/>
        <w:contextualSpacing/>
        <w:jc w:val="both"/>
        <w:rPr>
          <w:rFonts w:ascii="David" w:eastAsia="Calibri" w:hAnsi="David"/>
          <w:noProof w:val="0"/>
        </w:rPr>
      </w:pPr>
      <w:r w:rsidRPr="00EB09A6">
        <w:rPr>
          <w:rFonts w:ascii="David" w:eastAsia="Calibri" w:hAnsi="David" w:hint="cs"/>
          <w:noProof w:val="0"/>
          <w:rtl/>
        </w:rPr>
        <w:t xml:space="preserve">עו"ד </w:t>
      </w:r>
      <w:r w:rsidR="002B08A8" w:rsidRPr="00572CFA">
        <w:rPr>
          <w:rFonts w:ascii="David" w:eastAsia="Calibri" w:hAnsi="David" w:hint="cs"/>
          <w:noProof w:val="0"/>
          <w:rtl/>
        </w:rPr>
        <w:t>א</w:t>
      </w:r>
      <w:r w:rsidR="002B08A8" w:rsidRPr="00572CFA">
        <w:rPr>
          <w:rFonts w:ascii="David" w:eastAsia="Calibri" w:hAnsi="David"/>
          <w:noProof w:val="0"/>
          <w:rtl/>
        </w:rPr>
        <w:t>'</w:t>
      </w:r>
      <w:r>
        <w:rPr>
          <w:rFonts w:ascii="David" w:eastAsia="Calibri" w:hAnsi="David" w:hint="cs"/>
          <w:noProof w:val="0"/>
          <w:rtl/>
        </w:rPr>
        <w:t xml:space="preserve"> ביקש אף הוא לקבל עמדת וועדת האתיקה של לשכת עורכי הדין לעניין זה</w:t>
      </w:r>
      <w:r w:rsidR="00A670EC">
        <w:rPr>
          <w:rFonts w:ascii="David" w:eastAsia="Calibri" w:hAnsi="David" w:hint="cs"/>
          <w:noProof w:val="0"/>
          <w:rtl/>
        </w:rPr>
        <w:t xml:space="preserve">, ולאחר הפסקה </w:t>
      </w:r>
      <w:r w:rsidR="007B0C2F">
        <w:rPr>
          <w:rFonts w:ascii="David" w:eastAsia="Calibri" w:hAnsi="David" w:hint="cs"/>
          <w:noProof w:val="0"/>
          <w:rtl/>
        </w:rPr>
        <w:t xml:space="preserve">בדיון </w:t>
      </w:r>
      <w:r w:rsidR="00A670EC">
        <w:rPr>
          <w:rFonts w:ascii="David" w:eastAsia="Calibri" w:hAnsi="David" w:hint="cs"/>
          <w:noProof w:val="0"/>
          <w:rtl/>
        </w:rPr>
        <w:t>טען כי נאמר לו שיש לקבל את עמדתה של הממנה לעניין החיסיון.</w:t>
      </w:r>
    </w:p>
    <w:p w:rsidR="00A670EC" w:rsidRDefault="00A670EC" w:rsidP="00A670EC">
      <w:pPr>
        <w:pStyle w:val="ae"/>
        <w:rPr>
          <w:rFonts w:ascii="David" w:eastAsia="Calibri" w:hAnsi="David"/>
          <w:noProof w:val="0"/>
          <w:rtl/>
        </w:rPr>
      </w:pPr>
    </w:p>
    <w:p w:rsidR="00DD37D8" w:rsidRPr="00DD37D8" w:rsidRDefault="00DD37D8" w:rsidP="00775F80">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בנסיבות אלה, הופסקה חקירתו של </w:t>
      </w:r>
      <w:r w:rsidRPr="00EB09A6">
        <w:rPr>
          <w:rFonts w:ascii="David" w:eastAsia="Calibri" w:hAnsi="David"/>
          <w:noProof w:val="0"/>
          <w:rtl/>
        </w:rPr>
        <w:t xml:space="preserve">עו"ד </w:t>
      </w:r>
      <w:r w:rsidR="002B08A8" w:rsidRPr="00EB09A6">
        <w:rPr>
          <w:rFonts w:ascii="David" w:eastAsia="Calibri" w:hAnsi="David"/>
          <w:noProof w:val="0"/>
          <w:rtl/>
        </w:rPr>
        <w:t>א'</w:t>
      </w:r>
      <w:r w:rsidRPr="00DD37D8">
        <w:rPr>
          <w:rFonts w:ascii="David" w:eastAsia="Calibri" w:hAnsi="David"/>
          <w:noProof w:val="0"/>
          <w:rtl/>
        </w:rPr>
        <w:t>, תוך שהתבקשה עמדה בכתב מטעם האפוטרופסית לדין ומטעם ב"כ היועמ"ש, ניתנה זכות תגובה למשיב 3 (</w:t>
      </w:r>
      <w:r w:rsidR="00DA0D86">
        <w:rPr>
          <w:rFonts w:ascii="David" w:eastAsia="Calibri" w:hAnsi="David" w:hint="cs"/>
          <w:noProof w:val="0"/>
          <w:rtl/>
        </w:rPr>
        <w:t xml:space="preserve">בנה של הגב' </w:t>
      </w:r>
      <w:r w:rsidR="00775F80">
        <w:rPr>
          <w:rFonts w:ascii="David" w:eastAsia="Calibri" w:hAnsi="David" w:hint="cs"/>
          <w:noProof w:val="0"/>
          <w:rtl/>
        </w:rPr>
        <w:t>ל'</w:t>
      </w:r>
      <w:r w:rsidR="00DA0D86">
        <w:rPr>
          <w:rFonts w:ascii="David" w:eastAsia="Calibri" w:hAnsi="David" w:hint="cs"/>
          <w:noProof w:val="0"/>
          <w:rtl/>
        </w:rPr>
        <w:t xml:space="preserve"> ואחיהם של המבקשים, </w:t>
      </w:r>
      <w:r w:rsidRPr="00DD37D8">
        <w:rPr>
          <w:rFonts w:ascii="David" w:eastAsia="Calibri" w:hAnsi="David"/>
          <w:noProof w:val="0"/>
          <w:rtl/>
        </w:rPr>
        <w:t xml:space="preserve">הממונה על פי ייפוי הכוח המתמשך </w:t>
      </w:r>
      <w:r w:rsidR="00F65365">
        <w:rPr>
          <w:rFonts w:ascii="David" w:eastAsia="Calibri" w:hAnsi="David" w:hint="cs"/>
          <w:noProof w:val="0"/>
          <w:rtl/>
        </w:rPr>
        <w:t xml:space="preserve">הנדון </w:t>
      </w:r>
      <w:r w:rsidRPr="00DD37D8">
        <w:rPr>
          <w:rFonts w:ascii="David" w:eastAsia="Calibri" w:hAnsi="David"/>
          <w:noProof w:val="0"/>
          <w:rtl/>
        </w:rPr>
        <w:t xml:space="preserve">בהליך דנן- מר </w:t>
      </w:r>
      <w:r w:rsidR="00775F80">
        <w:rPr>
          <w:rFonts w:ascii="David" w:eastAsia="Calibri" w:hAnsi="David" w:hint="cs"/>
          <w:noProof w:val="0"/>
          <w:rtl/>
        </w:rPr>
        <w:t>ד.ל.</w:t>
      </w:r>
      <w:r w:rsidRPr="00DD37D8">
        <w:rPr>
          <w:rFonts w:ascii="David" w:eastAsia="Calibri" w:hAnsi="David"/>
          <w:noProof w:val="0"/>
          <w:rtl/>
        </w:rPr>
        <w:t xml:space="preserve">); וכן ניתנה זכות תשובה ליתר הצדדים, לרבות </w:t>
      </w:r>
      <w:r w:rsidRPr="00EB09A6">
        <w:rPr>
          <w:rFonts w:ascii="David" w:eastAsia="Calibri" w:hAnsi="David"/>
          <w:noProof w:val="0"/>
          <w:rtl/>
        </w:rPr>
        <w:t xml:space="preserve">עו"ד </w:t>
      </w:r>
      <w:r w:rsidR="002B08A8" w:rsidRPr="00EB09A6">
        <w:rPr>
          <w:rFonts w:ascii="David" w:eastAsia="Calibri" w:hAnsi="David"/>
          <w:noProof w:val="0"/>
          <w:rtl/>
        </w:rPr>
        <w:t>א'</w:t>
      </w:r>
      <w:r w:rsidRPr="00DD37D8">
        <w:rPr>
          <w:rFonts w:ascii="David" w:eastAsia="Calibri" w:hAnsi="David"/>
          <w:noProof w:val="0"/>
          <w:rtl/>
        </w:rPr>
        <w:t>, לאחר הגשת העמדות המבוקשות בכתב. ראו</w:t>
      </w:r>
      <w:r w:rsidR="00B237A1">
        <w:rPr>
          <w:rFonts w:ascii="David" w:eastAsia="Calibri" w:hAnsi="David" w:hint="cs"/>
          <w:noProof w:val="0"/>
          <w:rtl/>
        </w:rPr>
        <w:t>:</w:t>
      </w:r>
      <w:r w:rsidRPr="00DD37D8">
        <w:rPr>
          <w:rFonts w:ascii="David" w:eastAsia="Calibri" w:hAnsi="David"/>
          <w:noProof w:val="0"/>
          <w:rtl/>
        </w:rPr>
        <w:t xml:space="preserve"> החלטתי מיום 16.5.24 שניתנה בתום הדיון.</w:t>
      </w:r>
    </w:p>
    <w:p w:rsidR="00DD37D8" w:rsidRPr="00DD37D8" w:rsidRDefault="00DD37D8" w:rsidP="00DD37D8">
      <w:pPr>
        <w:spacing w:line="360" w:lineRule="auto"/>
        <w:ind w:left="720"/>
        <w:contextualSpacing/>
        <w:jc w:val="both"/>
        <w:rPr>
          <w:rFonts w:ascii="David" w:eastAsia="Calibri" w:hAnsi="David"/>
          <w:b/>
          <w:bCs/>
          <w:noProof w:val="0"/>
          <w:rtl/>
        </w:rPr>
      </w:pPr>
    </w:p>
    <w:p w:rsidR="00DD37D8" w:rsidRPr="00DD37D8" w:rsidRDefault="00DD37D8" w:rsidP="00DD37D8">
      <w:pPr>
        <w:spacing w:line="360" w:lineRule="auto"/>
        <w:ind w:left="720"/>
        <w:contextualSpacing/>
        <w:jc w:val="both"/>
        <w:rPr>
          <w:rFonts w:ascii="David" w:eastAsia="Calibri" w:hAnsi="David"/>
          <w:b/>
          <w:bCs/>
          <w:noProof w:val="0"/>
          <w:rtl/>
        </w:rPr>
      </w:pPr>
      <w:r w:rsidRPr="00DD37D8">
        <w:rPr>
          <w:rFonts w:ascii="David" w:eastAsia="Calibri" w:hAnsi="David"/>
          <w:b/>
          <w:bCs/>
          <w:noProof w:val="0"/>
          <w:rtl/>
        </w:rPr>
        <w:t>עמדת האפוטרופסית לדין</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האפוטרופסית לדין </w:t>
      </w:r>
      <w:r w:rsidR="0091776A">
        <w:rPr>
          <w:rFonts w:ascii="David" w:eastAsia="Calibri" w:hAnsi="David" w:hint="cs"/>
          <w:noProof w:val="0"/>
          <w:rtl/>
        </w:rPr>
        <w:t>הגישה</w:t>
      </w:r>
      <w:r w:rsidRPr="00DD37D8">
        <w:rPr>
          <w:rFonts w:ascii="David" w:eastAsia="Calibri" w:hAnsi="David"/>
          <w:noProof w:val="0"/>
          <w:rtl/>
        </w:rPr>
        <w:t xml:space="preserve"> עמדתה לפיה יש להבחין בין תפקידו של </w:t>
      </w:r>
      <w:r w:rsidRPr="00DD37D8">
        <w:rPr>
          <w:rFonts w:ascii="David" w:eastAsia="Calibri" w:hAnsi="David"/>
          <w:b/>
          <w:bCs/>
          <w:noProof w:val="0"/>
          <w:rtl/>
        </w:rPr>
        <w:t>אפוטרופוס שמונה לעניינים האישיים או הרכושיים</w:t>
      </w:r>
      <w:r w:rsidRPr="00DD37D8">
        <w:rPr>
          <w:rFonts w:ascii="David" w:eastAsia="Calibri" w:hAnsi="David"/>
          <w:noProof w:val="0"/>
          <w:rtl/>
        </w:rPr>
        <w:t xml:space="preserve"> של אדם שחדל להיות כשיר, לבין </w:t>
      </w:r>
      <w:r w:rsidRPr="00DD37D8">
        <w:rPr>
          <w:rFonts w:ascii="David" w:eastAsia="Calibri" w:hAnsi="David"/>
          <w:b/>
          <w:bCs/>
          <w:noProof w:val="0"/>
          <w:rtl/>
        </w:rPr>
        <w:t>אפוטרופוס לדין</w:t>
      </w:r>
      <w:r w:rsidRPr="00DD37D8">
        <w:rPr>
          <w:rFonts w:ascii="David" w:eastAsia="Calibri" w:hAnsi="David"/>
          <w:noProof w:val="0"/>
          <w:rtl/>
        </w:rPr>
        <w:t xml:space="preserve"> שעל פי הוראת סעיף 68(א) </w:t>
      </w:r>
      <w:r w:rsidRPr="00DD37D8">
        <w:rPr>
          <w:rFonts w:ascii="David" w:eastAsia="Calibri" w:hAnsi="David"/>
          <w:b/>
          <w:bCs/>
          <w:noProof w:val="0"/>
          <w:rtl/>
        </w:rPr>
        <w:t>לחוק הכשרות המשפטית,</w:t>
      </w:r>
      <w:r w:rsidRPr="00DD37D8">
        <w:rPr>
          <w:rFonts w:ascii="David" w:eastAsia="Calibri" w:hAnsi="David"/>
          <w:noProof w:val="0"/>
          <w:rtl/>
        </w:rPr>
        <w:t xml:space="preserve"> התשכ"ב -1962 (להלן – "</w:t>
      </w:r>
      <w:r w:rsidRPr="00DD37D8">
        <w:rPr>
          <w:rFonts w:ascii="David" w:eastAsia="Calibri" w:hAnsi="David"/>
          <w:b/>
          <w:bCs/>
          <w:noProof w:val="0"/>
          <w:rtl/>
        </w:rPr>
        <w:t>חוק הכשרות המשפטית</w:t>
      </w:r>
      <w:r w:rsidRPr="00DD37D8">
        <w:rPr>
          <w:rFonts w:ascii="David" w:eastAsia="Calibri" w:hAnsi="David"/>
          <w:noProof w:val="0"/>
          <w:rtl/>
        </w:rPr>
        <w:t>") תפקידו לשמור על זכויותיו של אדם, ולהביא את קולו</w:t>
      </w:r>
      <w:r w:rsidR="00B716DC">
        <w:rPr>
          <w:rFonts w:ascii="David" w:eastAsia="Calibri" w:hAnsi="David" w:hint="cs"/>
          <w:noProof w:val="0"/>
          <w:rtl/>
        </w:rPr>
        <w:t>,</w:t>
      </w:r>
      <w:r w:rsidRPr="00DD37D8">
        <w:rPr>
          <w:rFonts w:ascii="David" w:eastAsia="Calibri" w:hAnsi="David"/>
          <w:noProof w:val="0"/>
          <w:rtl/>
        </w:rPr>
        <w:t xml:space="preserve"> טובתו ורצונו של אדם שמונה לו אפוטרופוס או שיש ספק בנוגע לכשירותו המשפטית, במסגרת הליך תלוי ועומד; להבדיל מביצוע פעולות משפטיות בנוגע לנכסיו או זכויותיו של אותו אדם. לשיטתה אין זה מסמכותו של האפוטרופוס לדין לוותר או לגרוע מזכויותיו של האדם, פעולות החורגות מהמנדט לשמירה על ענייניו של האדם בהתאם להוראת סעיף 68 (א) לחוק. מאחר והסדרת חיסיון יש בה משום ויתור על זכויות דיוניות ואחרות, הרי שאין זה מסמכותה כאפוטרופסית לדין של הגב' </w:t>
      </w:r>
      <w:r w:rsidR="00775F80">
        <w:rPr>
          <w:rFonts w:ascii="David" w:eastAsia="Calibri" w:hAnsi="David" w:hint="cs"/>
          <w:noProof w:val="0"/>
          <w:rtl/>
        </w:rPr>
        <w:t>ל'</w:t>
      </w:r>
      <w:r w:rsidRPr="00DD37D8">
        <w:rPr>
          <w:rFonts w:ascii="David" w:eastAsia="Calibri" w:hAnsi="David"/>
          <w:noProof w:val="0"/>
          <w:rtl/>
        </w:rPr>
        <w:t xml:space="preserve"> </w:t>
      </w:r>
      <w:r w:rsidR="0091776A">
        <w:rPr>
          <w:rFonts w:ascii="David" w:eastAsia="Calibri" w:hAnsi="David" w:hint="cs"/>
          <w:noProof w:val="0"/>
          <w:rtl/>
        </w:rPr>
        <w:t xml:space="preserve">להסכים </w:t>
      </w:r>
      <w:r w:rsidRPr="00DD37D8">
        <w:rPr>
          <w:rFonts w:ascii="David" w:eastAsia="Calibri" w:hAnsi="David"/>
          <w:noProof w:val="0"/>
          <w:rtl/>
        </w:rPr>
        <w:t xml:space="preserve">להסרת חיסיון עו"ד לקוח, כפי עמדתה בדיון. </w:t>
      </w:r>
      <w:r w:rsidR="0091776A">
        <w:rPr>
          <w:rFonts w:ascii="David" w:eastAsia="Calibri" w:hAnsi="David" w:hint="cs"/>
          <w:noProof w:val="0"/>
          <w:rtl/>
        </w:rPr>
        <w:t xml:space="preserve">האפוטרופסית לדין </w:t>
      </w:r>
      <w:r w:rsidRPr="00DD37D8">
        <w:rPr>
          <w:rFonts w:ascii="David" w:eastAsia="Calibri" w:hAnsi="David"/>
          <w:noProof w:val="0"/>
          <w:rtl/>
        </w:rPr>
        <w:t xml:space="preserve">ציינה כי ד"ר מיטל סגל רייך עוה"ד הממונה הארצית – תחום זקנה ותחום כשרות משפטית במשרד המשפטים, הנהלת הסיוע המשפטי – מצטרפת לעמדה זו. </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DD37D8">
      <w:pPr>
        <w:spacing w:line="360" w:lineRule="auto"/>
        <w:ind w:left="720"/>
        <w:contextualSpacing/>
        <w:jc w:val="both"/>
        <w:rPr>
          <w:rFonts w:ascii="David" w:eastAsia="Calibri" w:hAnsi="David"/>
          <w:b/>
          <w:bCs/>
          <w:noProof w:val="0"/>
        </w:rPr>
      </w:pPr>
      <w:r w:rsidRPr="00DD37D8">
        <w:rPr>
          <w:rFonts w:ascii="David" w:eastAsia="Calibri" w:hAnsi="David"/>
          <w:b/>
          <w:bCs/>
          <w:noProof w:val="0"/>
          <w:rtl/>
        </w:rPr>
        <w:t xml:space="preserve">עמדת </w:t>
      </w:r>
      <w:r w:rsidRPr="00EB09A6">
        <w:rPr>
          <w:rFonts w:ascii="David" w:eastAsia="Calibri" w:hAnsi="David"/>
          <w:b/>
          <w:bCs/>
          <w:noProof w:val="0"/>
          <w:rtl/>
        </w:rPr>
        <w:t xml:space="preserve">עו"ד </w:t>
      </w:r>
      <w:r w:rsidR="002B08A8" w:rsidRPr="00EB09A6">
        <w:rPr>
          <w:rFonts w:ascii="David" w:eastAsia="Calibri" w:hAnsi="David"/>
          <w:b/>
          <w:bCs/>
          <w:noProof w:val="0"/>
          <w:rtl/>
        </w:rPr>
        <w:t>א'</w:t>
      </w:r>
    </w:p>
    <w:p w:rsidR="00DD37D8" w:rsidRPr="00DD37D8" w:rsidRDefault="00DD37D8" w:rsidP="00DD37D8">
      <w:pPr>
        <w:spacing w:line="360" w:lineRule="auto"/>
        <w:ind w:left="720"/>
        <w:contextualSpacing/>
        <w:jc w:val="both"/>
        <w:rPr>
          <w:rFonts w:ascii="David" w:eastAsia="Calibri" w:hAnsi="David"/>
          <w:noProof w:val="0"/>
          <w:rtl/>
        </w:rPr>
      </w:pPr>
    </w:p>
    <w:p w:rsidR="00DD37D8" w:rsidRDefault="00DD37D8" w:rsidP="007042AB">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ביום 22.5.24 הוגשה מטעם </w:t>
      </w:r>
      <w:r w:rsidRPr="00EB09A6">
        <w:rPr>
          <w:rFonts w:ascii="David" w:eastAsia="Calibri" w:hAnsi="David"/>
          <w:noProof w:val="0"/>
          <w:rtl/>
        </w:rPr>
        <w:t xml:space="preserve">עו"ד </w:t>
      </w:r>
      <w:r w:rsidR="002B08A8" w:rsidRPr="00EB09A6">
        <w:rPr>
          <w:rFonts w:ascii="David" w:eastAsia="Calibri" w:hAnsi="David"/>
          <w:noProof w:val="0"/>
          <w:rtl/>
        </w:rPr>
        <w:t>א'</w:t>
      </w:r>
      <w:r w:rsidRPr="00DD37D8">
        <w:rPr>
          <w:rFonts w:ascii="David" w:eastAsia="Calibri" w:hAnsi="David"/>
          <w:noProof w:val="0"/>
          <w:rtl/>
        </w:rPr>
        <w:t xml:space="preserve"> פנייה שנעשתה מטעמו לוועדת האתיקה, ותשובתם במייל מיום 21.5.24, לפיה:</w:t>
      </w:r>
    </w:p>
    <w:p w:rsidR="0091776A" w:rsidRPr="00DD37D8" w:rsidRDefault="0091776A" w:rsidP="0091776A">
      <w:pPr>
        <w:spacing w:after="160" w:line="360" w:lineRule="auto"/>
        <w:ind w:left="720"/>
        <w:contextualSpacing/>
        <w:jc w:val="both"/>
        <w:rPr>
          <w:rFonts w:ascii="David" w:eastAsia="Calibri" w:hAnsi="David"/>
          <w:noProof w:val="0"/>
        </w:rPr>
      </w:pPr>
    </w:p>
    <w:p w:rsidR="00DD37D8" w:rsidRPr="00DD37D8" w:rsidRDefault="00DD37D8" w:rsidP="00DD37D8">
      <w:pPr>
        <w:spacing w:line="360" w:lineRule="auto"/>
        <w:ind w:left="720"/>
        <w:contextualSpacing/>
        <w:jc w:val="both"/>
        <w:rPr>
          <w:rFonts w:ascii="David" w:eastAsia="Calibri" w:hAnsi="David"/>
          <w:b/>
          <w:bCs/>
          <w:noProof w:val="0"/>
          <w:rtl/>
        </w:rPr>
      </w:pPr>
      <w:r w:rsidRPr="00DD37D8">
        <w:rPr>
          <w:rFonts w:ascii="David" w:eastAsia="Calibri" w:hAnsi="David"/>
          <w:noProof w:val="0"/>
          <w:rtl/>
        </w:rPr>
        <w:t>"</w:t>
      </w:r>
      <w:r w:rsidRPr="00DD37D8">
        <w:rPr>
          <w:rFonts w:ascii="David" w:eastAsia="Calibri" w:hAnsi="David"/>
          <w:b/>
          <w:bCs/>
          <w:noProof w:val="0"/>
          <w:rtl/>
        </w:rPr>
        <w:t xml:space="preserve">1. ניתן לקבל את עמדת הלקוחה וזאת מפי האפוטרופוס שלה, אשר בפנייה שלך כתבת שהיא מתנגדת לביטול החיסיון. יובהר שלעניין זה אפוטרופסית הוא כלקוחה ויש לפנות </w:t>
      </w:r>
      <w:r w:rsidR="002B08A8">
        <w:rPr>
          <w:rFonts w:ascii="David" w:eastAsia="Calibri" w:hAnsi="David"/>
          <w:b/>
          <w:bCs/>
          <w:noProof w:val="0"/>
          <w:rtl/>
        </w:rPr>
        <w:t>א</w:t>
      </w:r>
      <w:r w:rsidR="00DD3D46">
        <w:rPr>
          <w:rFonts w:ascii="David" w:eastAsia="Calibri" w:hAnsi="David" w:hint="cs"/>
          <w:b/>
          <w:bCs/>
          <w:noProof w:val="0"/>
          <w:rtl/>
        </w:rPr>
        <w:t>לי</w:t>
      </w:r>
      <w:r w:rsidRPr="00DD37D8">
        <w:rPr>
          <w:rFonts w:ascii="David" w:eastAsia="Calibri" w:hAnsi="David"/>
          <w:b/>
          <w:bCs/>
          <w:noProof w:val="0"/>
          <w:rtl/>
        </w:rPr>
        <w:t>ה ולקבל את עמדתה.</w:t>
      </w:r>
    </w:p>
    <w:p w:rsidR="00DD37D8" w:rsidRPr="00DD37D8" w:rsidRDefault="00DD37D8" w:rsidP="00DD37D8">
      <w:pPr>
        <w:spacing w:line="360" w:lineRule="auto"/>
        <w:ind w:left="720"/>
        <w:jc w:val="both"/>
        <w:rPr>
          <w:rFonts w:ascii="David" w:eastAsia="Calibri" w:hAnsi="David"/>
          <w:noProof w:val="0"/>
          <w:rtl/>
        </w:rPr>
      </w:pPr>
      <w:r w:rsidRPr="00DD37D8">
        <w:rPr>
          <w:rFonts w:ascii="David" w:eastAsia="Calibri" w:hAnsi="David"/>
          <w:b/>
          <w:bCs/>
          <w:noProof w:val="0"/>
          <w:rtl/>
        </w:rPr>
        <w:t>2. במקרה בו בית המשפט יצווה עליך להשיב לאחר שטענת שיש חיסיון ובית המשפט לא יקבל את עמדתך בעניין זה – עליך לפעול על פי החלטת בית המשפט, אולם לשקול אפשרות של הגשת בקשת רשות ערעור על החלטה כזו, ככל שניתן להגיש בקשה כזו</w:t>
      </w:r>
      <w:r w:rsidRPr="00DD37D8">
        <w:rPr>
          <w:rFonts w:ascii="David" w:eastAsia="Calibri" w:hAnsi="David"/>
          <w:noProof w:val="0"/>
          <w:rtl/>
        </w:rPr>
        <w:t>".</w:t>
      </w:r>
    </w:p>
    <w:p w:rsidR="00DD37D8" w:rsidRPr="00DD37D8" w:rsidRDefault="00DD37D8" w:rsidP="00DD37D8">
      <w:pPr>
        <w:spacing w:line="360" w:lineRule="auto"/>
        <w:ind w:left="720"/>
        <w:contextualSpacing/>
        <w:jc w:val="both"/>
        <w:rPr>
          <w:rFonts w:ascii="David" w:eastAsia="Calibri" w:hAnsi="David"/>
          <w:b/>
          <w:bCs/>
          <w:noProof w:val="0"/>
          <w:rtl/>
        </w:rPr>
      </w:pPr>
    </w:p>
    <w:p w:rsidR="00DD37D8" w:rsidRPr="00DD37D8" w:rsidRDefault="00DD37D8" w:rsidP="00DD37D8">
      <w:pPr>
        <w:spacing w:line="360" w:lineRule="auto"/>
        <w:ind w:left="720"/>
        <w:contextualSpacing/>
        <w:jc w:val="both"/>
        <w:rPr>
          <w:rFonts w:ascii="David" w:eastAsia="Calibri" w:hAnsi="David"/>
          <w:b/>
          <w:bCs/>
          <w:noProof w:val="0"/>
        </w:rPr>
      </w:pPr>
      <w:r w:rsidRPr="00DD37D8">
        <w:rPr>
          <w:rFonts w:ascii="David" w:eastAsia="Calibri" w:hAnsi="David"/>
          <w:b/>
          <w:bCs/>
          <w:noProof w:val="0"/>
          <w:rtl/>
        </w:rPr>
        <w:t>עמדת ב"כ היועמ"ש</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ב"כ היועמ"ש </w:t>
      </w:r>
      <w:r w:rsidR="0091776A">
        <w:rPr>
          <w:rFonts w:ascii="David" w:eastAsia="Calibri" w:hAnsi="David" w:hint="cs"/>
          <w:noProof w:val="0"/>
          <w:rtl/>
        </w:rPr>
        <w:t xml:space="preserve">טענה כי </w:t>
      </w:r>
      <w:r w:rsidRPr="00DD37D8">
        <w:rPr>
          <w:rFonts w:ascii="David" w:eastAsia="Calibri" w:hAnsi="David"/>
          <w:noProof w:val="0"/>
          <w:rtl/>
        </w:rPr>
        <w:t>מאחר ובהתאם להחלטת ביהמ"ש מונה המרכז ה</w:t>
      </w:r>
      <w:r w:rsidR="00EB09A6">
        <w:rPr>
          <w:rFonts w:ascii="David" w:eastAsia="Calibri" w:hAnsi="David"/>
          <w:noProof w:val="0"/>
          <w:rtl/>
        </w:rPr>
        <w:t>ישראלי</w:t>
      </w:r>
      <w:r w:rsidRPr="00DD37D8">
        <w:rPr>
          <w:rFonts w:ascii="David" w:eastAsia="Calibri" w:hAnsi="David"/>
          <w:noProof w:val="0"/>
          <w:rtl/>
        </w:rPr>
        <w:t xml:space="preserve"> לאפוטרופסות כאפוטרופוס זמני לכל ענייניה של הגב' </w:t>
      </w:r>
      <w:r w:rsidR="00775F80">
        <w:rPr>
          <w:rFonts w:ascii="David" w:eastAsia="Calibri" w:hAnsi="David" w:hint="cs"/>
          <w:noProof w:val="0"/>
          <w:rtl/>
        </w:rPr>
        <w:t>ל'</w:t>
      </w:r>
      <w:r w:rsidRPr="00DD37D8">
        <w:rPr>
          <w:rFonts w:ascii="David" w:eastAsia="Calibri" w:hAnsi="David"/>
          <w:noProof w:val="0"/>
          <w:rtl/>
        </w:rPr>
        <w:t xml:space="preserve">, הרי שיש מקום לקבל עמדתו ביחס לשאלת הסרת החיסיון (ששייך בעצם לגב' </w:t>
      </w:r>
      <w:r w:rsidR="00775F80">
        <w:rPr>
          <w:rFonts w:ascii="David" w:eastAsia="Calibri" w:hAnsi="David" w:hint="cs"/>
          <w:noProof w:val="0"/>
          <w:rtl/>
        </w:rPr>
        <w:t>ר.ל.</w:t>
      </w:r>
      <w:r w:rsidRPr="00DD37D8">
        <w:rPr>
          <w:rFonts w:ascii="David" w:eastAsia="Calibri" w:hAnsi="David"/>
          <w:noProof w:val="0"/>
          <w:rtl/>
        </w:rPr>
        <w:t xml:space="preserve">), וכי עמדתו העניינית תוגש לאחר קבלת עמדת האפוטרופוס הזמני; </w:t>
      </w:r>
      <w:r w:rsidR="000821B0">
        <w:rPr>
          <w:rFonts w:ascii="David" w:eastAsia="Calibri" w:hAnsi="David" w:hint="cs"/>
          <w:noProof w:val="0"/>
          <w:rtl/>
        </w:rPr>
        <w:t xml:space="preserve">יחד עם זאת ציין </w:t>
      </w:r>
      <w:r w:rsidRPr="00DD37D8">
        <w:rPr>
          <w:rFonts w:ascii="David" w:eastAsia="Calibri" w:hAnsi="David"/>
          <w:noProof w:val="0"/>
          <w:rtl/>
        </w:rPr>
        <w:t xml:space="preserve">כי "כבר עתה ניכר בחומר שעומד בפני בית המשפט כי </w:t>
      </w:r>
      <w:r w:rsidRPr="00DD37D8">
        <w:rPr>
          <w:rFonts w:ascii="David" w:eastAsia="Calibri" w:hAnsi="David"/>
          <w:b/>
          <w:bCs/>
          <w:noProof w:val="0"/>
          <w:rtl/>
        </w:rPr>
        <w:t xml:space="preserve">טובתה של הגב' </w:t>
      </w:r>
      <w:r w:rsidR="00775F80">
        <w:rPr>
          <w:rFonts w:ascii="David" w:eastAsia="Calibri" w:hAnsi="David" w:hint="cs"/>
          <w:b/>
          <w:bCs/>
          <w:noProof w:val="0"/>
          <w:rtl/>
        </w:rPr>
        <w:t>ר.ל.</w:t>
      </w:r>
      <w:r w:rsidRPr="00DD37D8">
        <w:rPr>
          <w:rFonts w:ascii="David" w:eastAsia="Calibri" w:hAnsi="David"/>
          <w:noProof w:val="0"/>
          <w:rtl/>
        </w:rPr>
        <w:t xml:space="preserve"> היא במסירת הפרטים על ידי </w:t>
      </w:r>
      <w:r w:rsidRPr="00EB09A6">
        <w:rPr>
          <w:rFonts w:ascii="David" w:eastAsia="Calibri" w:hAnsi="David"/>
          <w:noProof w:val="0"/>
          <w:rtl/>
        </w:rPr>
        <w:t xml:space="preserve">עורך הדין </w:t>
      </w:r>
      <w:r w:rsidR="002B08A8" w:rsidRPr="00EB09A6">
        <w:rPr>
          <w:rFonts w:ascii="David" w:eastAsia="Calibri" w:hAnsi="David"/>
          <w:noProof w:val="0"/>
          <w:rtl/>
        </w:rPr>
        <w:t>א'</w:t>
      </w:r>
      <w:r w:rsidRPr="00DD37D8">
        <w:rPr>
          <w:rFonts w:ascii="David" w:eastAsia="Calibri" w:hAnsi="David"/>
          <w:noProof w:val="0"/>
          <w:rtl/>
        </w:rPr>
        <w:t xml:space="preserve"> ונראה כי החיסיון הנטען איננו לטובתה" (סעיף 4 לתגובה מיום 20.5.24); יתרה מזאת, לשיטת ב"כ היועמ"ש </w:t>
      </w:r>
      <w:r w:rsidRPr="00DD37D8">
        <w:rPr>
          <w:rFonts w:ascii="David" w:eastAsia="Calibri" w:hAnsi="David"/>
          <w:b/>
          <w:bCs/>
          <w:noProof w:val="0"/>
          <w:rtl/>
        </w:rPr>
        <w:t>אין רלבנטיות במקרה של ייפוי כוח מתמשך לנושא של חיסיון עו"ד-לקוח</w:t>
      </w:r>
      <w:r w:rsidRPr="00DD37D8">
        <w:rPr>
          <w:rFonts w:ascii="David" w:eastAsia="Calibri" w:hAnsi="David"/>
          <w:noProof w:val="0"/>
          <w:rtl/>
        </w:rPr>
        <w:t xml:space="preserve"> מכיוון שבמקרה של ייפוי כח מתמשך עו"ד מקבל רישיון ממשרד המשפטים לערוך את המסמך והוא כפוף לחובותיו בחוק וכן למדיניות האפוטרופוס הכללי אשר לפיה </w:t>
      </w:r>
      <w:r w:rsidRPr="00DD37D8">
        <w:rPr>
          <w:rFonts w:ascii="David" w:eastAsia="Calibri" w:hAnsi="David"/>
          <w:b/>
          <w:bCs/>
          <w:noProof w:val="0"/>
          <w:rtl/>
        </w:rPr>
        <w:t>יש מקום למסירת פרטים מלאים באשר לנסיבות עריכת ייפוי הכוח עת יידרש לעשות זאת.</w:t>
      </w:r>
      <w:r w:rsidRPr="00DD37D8">
        <w:rPr>
          <w:rFonts w:ascii="David" w:eastAsia="Calibri" w:hAnsi="David"/>
          <w:noProof w:val="0"/>
          <w:rtl/>
        </w:rPr>
        <w:t xml:space="preserve"> למעלה מן הצורך, ציינה ב"כ היועמ"ש כי לאור הנתונים שהוצגו לפני ביהמ"ש היא מבקשת לציין בפני הצדדים כבר עתה כי בנפרד משאלת היותה של הממנה כשירה בעת החתימה על מסמך ייפוי כוח מתמשך ושאלת כשרות המסמך עצמו – יהיה צורך לבחון אף את טובתה של הגברת </w:t>
      </w:r>
      <w:r w:rsidR="00775F80">
        <w:rPr>
          <w:rFonts w:ascii="David" w:eastAsia="Calibri" w:hAnsi="David" w:hint="cs"/>
          <w:noProof w:val="0"/>
          <w:rtl/>
        </w:rPr>
        <w:t>ל'</w:t>
      </w:r>
      <w:r w:rsidRPr="00DD37D8">
        <w:rPr>
          <w:rFonts w:ascii="David" w:eastAsia="Calibri" w:hAnsi="David"/>
          <w:noProof w:val="0"/>
          <w:rtl/>
        </w:rPr>
        <w:t xml:space="preserve"> ואין זה מן הנמנע שיהיה צורך לבחון את תפקודו של מר </w:t>
      </w:r>
      <w:r w:rsidR="00775F80">
        <w:rPr>
          <w:rFonts w:ascii="David" w:eastAsia="Calibri" w:hAnsi="David" w:hint="cs"/>
          <w:noProof w:val="0"/>
          <w:rtl/>
        </w:rPr>
        <w:t>ד.ל.</w:t>
      </w:r>
      <w:r w:rsidRPr="00DD37D8">
        <w:rPr>
          <w:rFonts w:ascii="David" w:eastAsia="Calibri" w:hAnsi="David"/>
          <w:noProof w:val="0"/>
          <w:rtl/>
        </w:rPr>
        <w:t xml:space="preserve"> בהתאם להוראת סעיף 67 לחוק הכשרות המשפטית.</w:t>
      </w:r>
    </w:p>
    <w:p w:rsidR="00DD37D8" w:rsidRPr="00DD37D8" w:rsidRDefault="00DD37D8" w:rsidP="00DD37D8">
      <w:pPr>
        <w:spacing w:line="360" w:lineRule="auto"/>
        <w:ind w:left="720"/>
        <w:contextualSpacing/>
        <w:jc w:val="both"/>
        <w:rPr>
          <w:rFonts w:ascii="David" w:eastAsia="Calibri" w:hAnsi="David"/>
          <w:b/>
          <w:bCs/>
          <w:noProof w:val="0"/>
          <w:rtl/>
        </w:rPr>
      </w:pPr>
    </w:p>
    <w:p w:rsidR="00DD37D8" w:rsidRPr="00DD37D8" w:rsidRDefault="00DD37D8" w:rsidP="00EB09A6">
      <w:pPr>
        <w:spacing w:line="360" w:lineRule="auto"/>
        <w:ind w:left="720"/>
        <w:contextualSpacing/>
        <w:jc w:val="both"/>
        <w:rPr>
          <w:rFonts w:ascii="David" w:eastAsia="Calibri" w:hAnsi="David"/>
          <w:b/>
          <w:bCs/>
          <w:noProof w:val="0"/>
        </w:rPr>
      </w:pPr>
      <w:r w:rsidRPr="00DD37D8">
        <w:rPr>
          <w:rFonts w:ascii="David" w:eastAsia="Calibri" w:hAnsi="David"/>
          <w:b/>
          <w:bCs/>
          <w:noProof w:val="0"/>
          <w:rtl/>
        </w:rPr>
        <w:t>עמדת האפוטרופוס הזמני – המרכז הישר</w:t>
      </w:r>
      <w:r w:rsidR="002B08A8">
        <w:rPr>
          <w:rFonts w:ascii="David" w:eastAsia="Calibri" w:hAnsi="David"/>
          <w:b/>
          <w:bCs/>
          <w:noProof w:val="0"/>
          <w:rtl/>
        </w:rPr>
        <w:t>א</w:t>
      </w:r>
      <w:r w:rsidR="00EB09A6">
        <w:rPr>
          <w:rFonts w:ascii="David" w:eastAsia="Calibri" w:hAnsi="David" w:hint="cs"/>
          <w:b/>
          <w:bCs/>
          <w:noProof w:val="0"/>
          <w:rtl/>
        </w:rPr>
        <w:t>לי</w:t>
      </w:r>
      <w:r w:rsidRPr="00DD37D8">
        <w:rPr>
          <w:rFonts w:ascii="David" w:eastAsia="Calibri" w:hAnsi="David"/>
          <w:b/>
          <w:bCs/>
          <w:noProof w:val="0"/>
          <w:rtl/>
        </w:rPr>
        <w:t xml:space="preserve"> לאפוטרופסות</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lastRenderedPageBreak/>
        <w:t xml:space="preserve">בהתאם להחלטתי מיום 20.5.24 הוגשה עמדת האפוטרופוס הזמני של הגב' </w:t>
      </w:r>
      <w:r w:rsidR="00775F80">
        <w:rPr>
          <w:rFonts w:ascii="David" w:eastAsia="Calibri" w:hAnsi="David" w:hint="cs"/>
          <w:noProof w:val="0"/>
          <w:rtl/>
        </w:rPr>
        <w:t>ל'</w:t>
      </w:r>
      <w:r w:rsidRPr="00DD37D8">
        <w:rPr>
          <w:rFonts w:ascii="David" w:eastAsia="Calibri" w:hAnsi="David"/>
          <w:noProof w:val="0"/>
          <w:rtl/>
        </w:rPr>
        <w:t xml:space="preserve"> מיום 26.5.24 </w:t>
      </w:r>
      <w:r w:rsidR="007042AB">
        <w:rPr>
          <w:rFonts w:ascii="David" w:eastAsia="Calibri" w:hAnsi="David" w:hint="cs"/>
          <w:noProof w:val="0"/>
          <w:rtl/>
        </w:rPr>
        <w:t>במסגרתה</w:t>
      </w:r>
      <w:r w:rsidRPr="00DD37D8">
        <w:rPr>
          <w:rFonts w:ascii="David" w:eastAsia="Calibri" w:hAnsi="David"/>
          <w:noProof w:val="0"/>
          <w:rtl/>
        </w:rPr>
        <w:t xml:space="preserve"> טען, כי </w:t>
      </w:r>
      <w:r w:rsidRPr="00DD37D8">
        <w:rPr>
          <w:rFonts w:ascii="David" w:eastAsia="Calibri" w:hAnsi="David"/>
          <w:b/>
          <w:bCs/>
          <w:noProof w:val="0"/>
          <w:rtl/>
        </w:rPr>
        <w:t>המרכז תומך בבקשה להסרת חיסיון עו"ד-לקוח</w:t>
      </w:r>
      <w:r w:rsidRPr="00DD37D8">
        <w:rPr>
          <w:rFonts w:ascii="David" w:eastAsia="Calibri" w:hAnsi="David"/>
          <w:noProof w:val="0"/>
          <w:rtl/>
        </w:rPr>
        <w:t xml:space="preserve"> באופן שיאפשר בדיקת מתן ייפוי הכוח המתמשך.</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DD37D8">
      <w:pPr>
        <w:spacing w:line="360" w:lineRule="auto"/>
        <w:ind w:left="720"/>
        <w:contextualSpacing/>
        <w:jc w:val="both"/>
        <w:rPr>
          <w:rFonts w:ascii="David" w:eastAsia="Calibri" w:hAnsi="David"/>
          <w:b/>
          <w:bCs/>
          <w:noProof w:val="0"/>
        </w:rPr>
      </w:pPr>
      <w:r w:rsidRPr="00DD37D8">
        <w:rPr>
          <w:rFonts w:ascii="David" w:eastAsia="Calibri" w:hAnsi="David"/>
          <w:b/>
          <w:bCs/>
          <w:noProof w:val="0"/>
          <w:rtl/>
        </w:rPr>
        <w:t>עמדה משלימה מטעם ב"כ היועמ"ש בא"כ ובמשרד הרווחה</w:t>
      </w:r>
    </w:p>
    <w:p w:rsidR="00DD37D8" w:rsidRPr="00DD37D8" w:rsidRDefault="00DD37D8" w:rsidP="00DD37D8">
      <w:pPr>
        <w:spacing w:line="360" w:lineRule="auto"/>
        <w:ind w:left="720"/>
        <w:contextualSpacing/>
        <w:jc w:val="both"/>
        <w:rPr>
          <w:rFonts w:ascii="David" w:eastAsia="Calibri" w:hAnsi="David"/>
          <w:noProof w:val="0"/>
          <w:rtl/>
        </w:rPr>
      </w:pPr>
    </w:p>
    <w:p w:rsidR="006344E8" w:rsidRDefault="006344E8" w:rsidP="006344E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בעמדתה המשלימה מיום 2.6.24, שבה וחזרה ב"כ היועמ"ש על עמדתה מיום 20.5.24, לפיה מדיניות משרד המשפטים הינה כי על עורך ייפוי הכוח למסור פרטים מלאים באשר לנסיבות עריכת ייפוי הכוח עת נציגי האפוטרופוס הכללי מבקשים זאת; ב"כ היועמ"ש בהיותה נציגת האפוטרופוס הכללי </w:t>
      </w:r>
      <w:r>
        <w:rPr>
          <w:rFonts w:ascii="David" w:eastAsia="Calibri" w:hAnsi="David" w:hint="cs"/>
          <w:b/>
          <w:bCs/>
          <w:noProof w:val="0"/>
          <w:rtl/>
        </w:rPr>
        <w:t xml:space="preserve">עתרה </w:t>
      </w:r>
      <w:r w:rsidRPr="00DD37D8">
        <w:rPr>
          <w:rFonts w:ascii="David" w:eastAsia="Calibri" w:hAnsi="David"/>
          <w:b/>
          <w:bCs/>
          <w:noProof w:val="0"/>
          <w:rtl/>
        </w:rPr>
        <w:t>כי בית המשפט יקבל מעורך ייפוי הכוח את כל המידע באשר לנסיבות עריכתו</w:t>
      </w:r>
      <w:r w:rsidRPr="00DD37D8">
        <w:rPr>
          <w:rFonts w:ascii="David" w:eastAsia="Calibri" w:hAnsi="David"/>
          <w:noProof w:val="0"/>
          <w:rtl/>
        </w:rPr>
        <w:t xml:space="preserve">; במקביל – מאחר וחיסיון עו"ד לקוח שייך לגב' </w:t>
      </w:r>
      <w:r>
        <w:rPr>
          <w:rFonts w:ascii="David" w:eastAsia="Calibri" w:hAnsi="David" w:hint="cs"/>
          <w:noProof w:val="0"/>
          <w:rtl/>
        </w:rPr>
        <w:t>ר.ל.</w:t>
      </w:r>
      <w:r w:rsidRPr="00DD37D8">
        <w:rPr>
          <w:rFonts w:ascii="David" w:eastAsia="Calibri" w:hAnsi="David"/>
          <w:noProof w:val="0"/>
          <w:rtl/>
        </w:rPr>
        <w:t xml:space="preserve"> ומאחר ומונה לה אפוטרופוס (המרכז הישר</w:t>
      </w:r>
      <w:r>
        <w:rPr>
          <w:rFonts w:ascii="David" w:eastAsia="Calibri" w:hAnsi="David"/>
          <w:noProof w:val="0"/>
          <w:rtl/>
        </w:rPr>
        <w:t>א</w:t>
      </w:r>
      <w:r>
        <w:rPr>
          <w:rFonts w:ascii="David" w:eastAsia="Calibri" w:hAnsi="David" w:hint="cs"/>
          <w:noProof w:val="0"/>
          <w:rtl/>
        </w:rPr>
        <w:t>לי</w:t>
      </w:r>
      <w:r w:rsidRPr="00DD37D8">
        <w:rPr>
          <w:rFonts w:ascii="David" w:eastAsia="Calibri" w:hAnsi="David"/>
          <w:noProof w:val="0"/>
          <w:rtl/>
        </w:rPr>
        <w:t xml:space="preserve"> לאפוטרופסות) ומאחר והאפוטרופוס שמונה לה הביע עמדתו כי הינו תומך בהסרת החיסיון על מנת </w:t>
      </w:r>
      <w:r w:rsidRPr="00EB09A6">
        <w:rPr>
          <w:rFonts w:ascii="David" w:eastAsia="Calibri" w:hAnsi="David"/>
          <w:noProof w:val="0"/>
          <w:rtl/>
        </w:rPr>
        <w:t>שעו"ד א'</w:t>
      </w:r>
      <w:r w:rsidRPr="00DD37D8">
        <w:rPr>
          <w:rFonts w:ascii="David" w:eastAsia="Calibri" w:hAnsi="David"/>
          <w:noProof w:val="0"/>
          <w:rtl/>
        </w:rPr>
        <w:t xml:space="preserve"> יוכל להעיד ללא סייג במטרה לבחון את אופן עריכת ייפוי הכוח המתמשך, הרי שעמדת ב"כ היועמ"ש הא"כ וכן עמדת ב"כ היועמ"ש במשרד הרווחה, הינה כי </w:t>
      </w:r>
      <w:r w:rsidRPr="00DD37D8">
        <w:rPr>
          <w:rFonts w:ascii="David" w:eastAsia="Calibri" w:hAnsi="David"/>
          <w:b/>
          <w:bCs/>
          <w:noProof w:val="0"/>
          <w:rtl/>
        </w:rPr>
        <w:t xml:space="preserve">יש להסיר את החיסיון ולאפשר מתן עדות וחקירה של </w:t>
      </w:r>
      <w:r w:rsidRPr="00EB09A6">
        <w:rPr>
          <w:rFonts w:ascii="David" w:eastAsia="Calibri" w:hAnsi="David"/>
          <w:b/>
          <w:bCs/>
          <w:noProof w:val="0"/>
          <w:rtl/>
        </w:rPr>
        <w:t>עו"ד א'</w:t>
      </w:r>
      <w:r w:rsidRPr="00DD37D8">
        <w:rPr>
          <w:rFonts w:ascii="David" w:eastAsia="Calibri" w:hAnsi="David"/>
          <w:b/>
          <w:bCs/>
          <w:noProof w:val="0"/>
          <w:rtl/>
        </w:rPr>
        <w:t xml:space="preserve"> בעניין זה</w:t>
      </w:r>
      <w:r w:rsidRPr="00DD37D8">
        <w:rPr>
          <w:rFonts w:ascii="David" w:eastAsia="Calibri" w:hAnsi="David"/>
          <w:noProof w:val="0"/>
          <w:rtl/>
        </w:rPr>
        <w:t>.</w:t>
      </w:r>
    </w:p>
    <w:p w:rsidR="006344E8" w:rsidRPr="006344E8" w:rsidRDefault="006344E8" w:rsidP="006344E8">
      <w:pPr>
        <w:pStyle w:val="ae"/>
        <w:spacing w:after="160" w:line="360" w:lineRule="auto"/>
        <w:jc w:val="both"/>
        <w:rPr>
          <w:rFonts w:ascii="David" w:eastAsia="Calibri" w:hAnsi="David"/>
          <w:b/>
          <w:bCs/>
          <w:noProof w:val="0"/>
          <w:rtl/>
        </w:rPr>
      </w:pPr>
      <w:r w:rsidRPr="006344E8">
        <w:rPr>
          <w:rFonts w:ascii="David" w:eastAsia="Calibri" w:hAnsi="David" w:hint="cs"/>
          <w:b/>
          <w:bCs/>
          <w:noProof w:val="0"/>
          <w:rtl/>
        </w:rPr>
        <w:t xml:space="preserve">עמדת המשיב מס' 3 </w:t>
      </w:r>
    </w:p>
    <w:p w:rsidR="00424190" w:rsidRPr="006344E8" w:rsidRDefault="00424190" w:rsidP="006344E8">
      <w:pPr>
        <w:numPr>
          <w:ilvl w:val="0"/>
          <w:numId w:val="1"/>
        </w:numPr>
        <w:spacing w:after="160" w:line="360" w:lineRule="auto"/>
        <w:contextualSpacing/>
        <w:jc w:val="both"/>
        <w:rPr>
          <w:rFonts w:ascii="David" w:eastAsia="Calibri" w:hAnsi="David"/>
          <w:noProof w:val="0"/>
        </w:rPr>
      </w:pPr>
      <w:r w:rsidRPr="006344E8">
        <w:rPr>
          <w:rFonts w:ascii="David" w:eastAsia="Calibri" w:hAnsi="David" w:hint="cs"/>
          <w:noProof w:val="0"/>
          <w:rtl/>
        </w:rPr>
        <w:t xml:space="preserve">ביום 4.6.24 הוגשה עמדתו של המשיב מס' 3 לפיה הוא אינו מתנגד להסרת החיסיון על מנת לאפשר מתן עדות וחקירה של עו"ד </w:t>
      </w:r>
      <w:r w:rsidR="002B08A8" w:rsidRPr="006344E8">
        <w:rPr>
          <w:rFonts w:ascii="David" w:eastAsia="Calibri" w:hAnsi="David" w:hint="cs"/>
          <w:noProof w:val="0"/>
          <w:rtl/>
        </w:rPr>
        <w:t>א</w:t>
      </w:r>
      <w:r w:rsidR="002B08A8" w:rsidRPr="006344E8">
        <w:rPr>
          <w:rFonts w:ascii="David" w:eastAsia="Calibri" w:hAnsi="David"/>
          <w:noProof w:val="0"/>
          <w:rtl/>
        </w:rPr>
        <w:t>'</w:t>
      </w:r>
      <w:r w:rsidRPr="006344E8">
        <w:rPr>
          <w:rFonts w:ascii="David" w:eastAsia="Calibri" w:hAnsi="David" w:hint="cs"/>
          <w:noProof w:val="0"/>
          <w:rtl/>
        </w:rPr>
        <w:t>.</w:t>
      </w:r>
    </w:p>
    <w:p w:rsidR="00500250" w:rsidRPr="00500250" w:rsidRDefault="00500250" w:rsidP="00500250">
      <w:pPr>
        <w:spacing w:after="160" w:line="360" w:lineRule="auto"/>
        <w:contextualSpacing/>
        <w:rPr>
          <w:rFonts w:ascii="David" w:eastAsia="Calibri" w:hAnsi="David"/>
          <w:noProof w:val="0"/>
          <w:rtl/>
        </w:rPr>
      </w:pPr>
    </w:p>
    <w:p w:rsidR="00500250" w:rsidRPr="00500250" w:rsidRDefault="00500250" w:rsidP="00500250">
      <w:pPr>
        <w:spacing w:after="160" w:line="360" w:lineRule="auto"/>
        <w:ind w:left="720"/>
        <w:contextualSpacing/>
        <w:jc w:val="both"/>
        <w:rPr>
          <w:rFonts w:ascii="David" w:eastAsia="Calibri" w:hAnsi="David"/>
          <w:b/>
          <w:bCs/>
          <w:noProof w:val="0"/>
          <w:rtl/>
        </w:rPr>
      </w:pPr>
      <w:r w:rsidRPr="00500250">
        <w:rPr>
          <w:rFonts w:ascii="David" w:eastAsia="Calibri" w:hAnsi="David"/>
          <w:b/>
          <w:bCs/>
          <w:noProof w:val="0"/>
          <w:rtl/>
        </w:rPr>
        <w:t>עמדת המבקשים</w:t>
      </w:r>
      <w:r w:rsidR="001F519E">
        <w:rPr>
          <w:rFonts w:ascii="David" w:eastAsia="Calibri" w:hAnsi="David" w:hint="cs"/>
          <w:b/>
          <w:bCs/>
          <w:noProof w:val="0"/>
          <w:rtl/>
        </w:rPr>
        <w:t xml:space="preserve"> 1 ו-2 </w:t>
      </w:r>
    </w:p>
    <w:p w:rsidR="00500250" w:rsidRPr="00500250" w:rsidRDefault="00500250" w:rsidP="00500250">
      <w:pPr>
        <w:spacing w:after="160" w:line="360" w:lineRule="auto"/>
        <w:contextualSpacing/>
        <w:rPr>
          <w:rFonts w:ascii="David" w:eastAsia="Calibri" w:hAnsi="David"/>
          <w:noProof w:val="0"/>
          <w:rtl/>
        </w:rPr>
      </w:pPr>
    </w:p>
    <w:p w:rsidR="00500250" w:rsidRDefault="00500250" w:rsidP="00775F80">
      <w:pPr>
        <w:numPr>
          <w:ilvl w:val="0"/>
          <w:numId w:val="1"/>
        </w:numPr>
        <w:spacing w:after="160" w:line="360" w:lineRule="auto"/>
        <w:contextualSpacing/>
        <w:jc w:val="both"/>
        <w:rPr>
          <w:rFonts w:ascii="David" w:eastAsia="Calibri" w:hAnsi="David"/>
          <w:noProof w:val="0"/>
        </w:rPr>
      </w:pPr>
      <w:r w:rsidRPr="00500250">
        <w:rPr>
          <w:rFonts w:ascii="David" w:eastAsia="Calibri" w:hAnsi="David"/>
          <w:noProof w:val="0"/>
          <w:rtl/>
        </w:rPr>
        <w:t xml:space="preserve">המבקשים </w:t>
      </w:r>
      <w:r w:rsidR="001F519E">
        <w:rPr>
          <w:rFonts w:ascii="David" w:eastAsia="Calibri" w:hAnsi="David" w:hint="cs"/>
          <w:noProof w:val="0"/>
          <w:rtl/>
        </w:rPr>
        <w:t>עותרים על סמך עמדתו של המרכז ה</w:t>
      </w:r>
      <w:r w:rsidR="00EB09A6">
        <w:rPr>
          <w:rFonts w:ascii="David" w:eastAsia="Calibri" w:hAnsi="David" w:hint="cs"/>
          <w:noProof w:val="0"/>
          <w:rtl/>
        </w:rPr>
        <w:t>ישראלי</w:t>
      </w:r>
      <w:r w:rsidR="001F519E">
        <w:rPr>
          <w:rFonts w:ascii="David" w:eastAsia="Calibri" w:hAnsi="David" w:hint="cs"/>
          <w:noProof w:val="0"/>
          <w:rtl/>
        </w:rPr>
        <w:t xml:space="preserve"> לאפוטר</w:t>
      </w:r>
      <w:r w:rsidR="006204D9">
        <w:rPr>
          <w:rFonts w:ascii="David" w:eastAsia="Calibri" w:hAnsi="David" w:hint="cs"/>
          <w:noProof w:val="0"/>
          <w:rtl/>
        </w:rPr>
        <w:t>ופסות וב"כ היועמ"ש בא"כ בשיתוף ע</w:t>
      </w:r>
      <w:r w:rsidR="001F519E">
        <w:rPr>
          <w:rFonts w:ascii="David" w:eastAsia="Calibri" w:hAnsi="David" w:hint="cs"/>
          <w:noProof w:val="0"/>
          <w:rtl/>
        </w:rPr>
        <w:t xml:space="preserve">ם ב"כ היועמ"ש במשרד הרווחה להסיר את החיסיון ולאפשר מתן עדות וחקירה של </w:t>
      </w:r>
      <w:r w:rsidR="001F519E" w:rsidRPr="00EB09A6">
        <w:rPr>
          <w:rFonts w:ascii="David" w:eastAsia="Calibri" w:hAnsi="David" w:hint="cs"/>
          <w:noProof w:val="0"/>
          <w:rtl/>
        </w:rPr>
        <w:t xml:space="preserve">עו"ד </w:t>
      </w:r>
      <w:r w:rsidR="002B08A8" w:rsidRPr="00EB09A6">
        <w:rPr>
          <w:rFonts w:ascii="David" w:eastAsia="Calibri" w:hAnsi="David" w:hint="cs"/>
          <w:noProof w:val="0"/>
          <w:rtl/>
        </w:rPr>
        <w:t>א</w:t>
      </w:r>
      <w:r w:rsidR="002B08A8" w:rsidRPr="00EB09A6">
        <w:rPr>
          <w:rFonts w:ascii="David" w:eastAsia="Calibri" w:hAnsi="David"/>
          <w:noProof w:val="0"/>
          <w:rtl/>
        </w:rPr>
        <w:t>'</w:t>
      </w:r>
      <w:r w:rsidR="001F519E">
        <w:rPr>
          <w:rFonts w:ascii="David" w:eastAsia="Calibri" w:hAnsi="David" w:hint="cs"/>
          <w:noProof w:val="0"/>
          <w:rtl/>
        </w:rPr>
        <w:t xml:space="preserve"> לעניין זה. למעלה מן הצורך הפנתה לעמדת ב"כ היועמ"ש בא"כ כי במקרה של ייפוי כוח מתמשך אין רלוונטיות לשאלת חסיון עו"ד לקוח. עוד נטען כי הותרת החיסיון אינו ל</w:t>
      </w:r>
      <w:r w:rsidR="006204D9">
        <w:rPr>
          <w:rFonts w:ascii="David" w:eastAsia="Calibri" w:hAnsi="David" w:hint="cs"/>
          <w:noProof w:val="0"/>
          <w:rtl/>
        </w:rPr>
        <w:t xml:space="preserve">טובתה של הגב' </w:t>
      </w:r>
      <w:r w:rsidR="00775F80">
        <w:rPr>
          <w:rFonts w:ascii="David" w:eastAsia="Calibri" w:hAnsi="David" w:hint="cs"/>
          <w:noProof w:val="0"/>
          <w:rtl/>
        </w:rPr>
        <w:t>ל'</w:t>
      </w:r>
      <w:r w:rsidR="006204D9">
        <w:rPr>
          <w:rFonts w:ascii="David" w:eastAsia="Calibri" w:hAnsi="David" w:hint="cs"/>
          <w:noProof w:val="0"/>
          <w:rtl/>
        </w:rPr>
        <w:t xml:space="preserve"> וכי השכל הישר</w:t>
      </w:r>
      <w:r w:rsidR="001F519E">
        <w:rPr>
          <w:rFonts w:ascii="David" w:eastAsia="Calibri" w:hAnsi="David" w:hint="cs"/>
          <w:noProof w:val="0"/>
          <w:rtl/>
        </w:rPr>
        <w:t xml:space="preserve"> מחייב לחקור את עורך ייפוי הכוח שאחרת לא ניתן יהיה לברר האם י</w:t>
      </w:r>
      <w:r w:rsidR="006308DC">
        <w:rPr>
          <w:rFonts w:ascii="David" w:eastAsia="Calibri" w:hAnsi="David" w:hint="cs"/>
          <w:noProof w:val="0"/>
          <w:rtl/>
        </w:rPr>
        <w:t>י</w:t>
      </w:r>
      <w:r w:rsidR="001F519E">
        <w:rPr>
          <w:rFonts w:ascii="David" w:eastAsia="Calibri" w:hAnsi="David" w:hint="cs"/>
          <w:noProof w:val="0"/>
          <w:rtl/>
        </w:rPr>
        <w:t>פוי הכ</w:t>
      </w:r>
      <w:r w:rsidR="006308DC">
        <w:rPr>
          <w:rFonts w:ascii="David" w:eastAsia="Calibri" w:hAnsi="David" w:hint="cs"/>
          <w:noProof w:val="0"/>
          <w:rtl/>
        </w:rPr>
        <w:t>ו</w:t>
      </w:r>
      <w:r w:rsidR="001F519E">
        <w:rPr>
          <w:rFonts w:ascii="David" w:eastAsia="Calibri" w:hAnsi="David" w:hint="cs"/>
          <w:noProof w:val="0"/>
          <w:rtl/>
        </w:rPr>
        <w:t>ח המתמשך נערך בהתאם להוראות הדין</w:t>
      </w:r>
      <w:r w:rsidR="006308DC">
        <w:rPr>
          <w:rFonts w:ascii="David" w:eastAsia="Calibri" w:hAnsi="David" w:hint="cs"/>
          <w:noProof w:val="0"/>
          <w:rtl/>
        </w:rPr>
        <w:t xml:space="preserve">, באופן שהחיסיון יופעל למעשה כנגד הגב' </w:t>
      </w:r>
      <w:r w:rsidR="00775F80">
        <w:rPr>
          <w:rFonts w:ascii="David" w:eastAsia="Calibri" w:hAnsi="David" w:hint="cs"/>
          <w:noProof w:val="0"/>
          <w:rtl/>
        </w:rPr>
        <w:t>ל'</w:t>
      </w:r>
      <w:r w:rsidR="006308DC">
        <w:rPr>
          <w:rFonts w:ascii="David" w:eastAsia="Calibri" w:hAnsi="David" w:hint="cs"/>
          <w:noProof w:val="0"/>
          <w:rtl/>
        </w:rPr>
        <w:t xml:space="preserve"> אשר אינה יכולה להביע את דעתה.</w:t>
      </w:r>
    </w:p>
    <w:p w:rsidR="00424190" w:rsidRPr="006204D9" w:rsidRDefault="00424190" w:rsidP="00DD37D8">
      <w:pPr>
        <w:spacing w:line="360" w:lineRule="auto"/>
        <w:ind w:left="720"/>
        <w:contextualSpacing/>
        <w:jc w:val="both"/>
        <w:rPr>
          <w:rFonts w:ascii="David" w:eastAsia="Calibri" w:hAnsi="David"/>
          <w:b/>
          <w:bCs/>
          <w:noProof w:val="0"/>
          <w:sz w:val="28"/>
          <w:szCs w:val="28"/>
          <w:rtl/>
        </w:rPr>
      </w:pPr>
    </w:p>
    <w:p w:rsidR="00DD37D8" w:rsidRPr="00DD37D8" w:rsidRDefault="00DD37D8" w:rsidP="00DD3D46">
      <w:pPr>
        <w:spacing w:line="360" w:lineRule="auto"/>
        <w:ind w:firstLine="720"/>
        <w:contextualSpacing/>
        <w:jc w:val="both"/>
        <w:rPr>
          <w:rFonts w:ascii="David" w:eastAsia="Calibri" w:hAnsi="David"/>
          <w:b/>
          <w:bCs/>
          <w:noProof w:val="0"/>
          <w:rtl/>
        </w:rPr>
      </w:pPr>
      <w:r w:rsidRPr="00DD37D8">
        <w:rPr>
          <w:rFonts w:ascii="David" w:eastAsia="Calibri" w:hAnsi="David"/>
          <w:b/>
          <w:bCs/>
          <w:noProof w:val="0"/>
          <w:rtl/>
        </w:rPr>
        <w:t>דיון והכרעה</w:t>
      </w:r>
    </w:p>
    <w:p w:rsidR="00DD37D8" w:rsidRPr="00DD37D8" w:rsidRDefault="00DD37D8" w:rsidP="00DD37D8">
      <w:pPr>
        <w:spacing w:line="360" w:lineRule="auto"/>
        <w:ind w:left="720"/>
        <w:contextualSpacing/>
        <w:jc w:val="both"/>
        <w:rPr>
          <w:rFonts w:ascii="David" w:eastAsia="Calibri" w:hAnsi="David"/>
          <w:b/>
          <w:bCs/>
          <w:noProof w:val="0"/>
          <w:rtl/>
        </w:rPr>
      </w:pPr>
    </w:p>
    <w:p w:rsidR="00DD37D8" w:rsidRPr="00734FFB" w:rsidRDefault="00DD37D8" w:rsidP="00775F80">
      <w:pPr>
        <w:numPr>
          <w:ilvl w:val="0"/>
          <w:numId w:val="1"/>
        </w:numPr>
        <w:spacing w:after="160" w:line="360" w:lineRule="auto"/>
        <w:contextualSpacing/>
        <w:jc w:val="both"/>
        <w:rPr>
          <w:rFonts w:ascii="David" w:eastAsia="Calibri" w:hAnsi="David"/>
          <w:noProof w:val="0"/>
        </w:rPr>
      </w:pPr>
      <w:r w:rsidRPr="00734FFB">
        <w:rPr>
          <w:rFonts w:ascii="David" w:eastAsia="Calibri" w:hAnsi="David"/>
          <w:noProof w:val="0"/>
          <w:rtl/>
        </w:rPr>
        <w:t xml:space="preserve">לאחר ששקלתי </w:t>
      </w:r>
      <w:r w:rsidR="00A40E3B">
        <w:rPr>
          <w:rFonts w:ascii="David" w:eastAsia="Calibri" w:hAnsi="David" w:hint="cs"/>
          <w:noProof w:val="0"/>
          <w:rtl/>
        </w:rPr>
        <w:t xml:space="preserve">את </w:t>
      </w:r>
      <w:r w:rsidRPr="00734FFB">
        <w:rPr>
          <w:rFonts w:ascii="David" w:eastAsia="Calibri" w:hAnsi="David"/>
          <w:noProof w:val="0"/>
          <w:rtl/>
        </w:rPr>
        <w:t>עמדות הצדדים</w:t>
      </w:r>
      <w:r w:rsidR="00A40E3B">
        <w:rPr>
          <w:rFonts w:ascii="David" w:eastAsia="Calibri" w:hAnsi="David" w:hint="cs"/>
          <w:noProof w:val="0"/>
          <w:rtl/>
        </w:rPr>
        <w:t>,</w:t>
      </w:r>
      <w:r w:rsidRPr="00734FFB">
        <w:rPr>
          <w:rFonts w:ascii="David" w:eastAsia="Calibri" w:hAnsi="David"/>
          <w:noProof w:val="0"/>
          <w:rtl/>
        </w:rPr>
        <w:t xml:space="preserve">  הגעתי למסקנה כי </w:t>
      </w:r>
      <w:r w:rsidR="00A40E3B" w:rsidRPr="00734FFB">
        <w:rPr>
          <w:rFonts w:ascii="David" w:eastAsia="Calibri" w:hAnsi="David" w:hint="cs"/>
          <w:noProof w:val="0"/>
          <w:rtl/>
        </w:rPr>
        <w:t xml:space="preserve">ככל שאכן קיים חסיון לעניין זה, </w:t>
      </w:r>
      <w:r w:rsidRPr="00734FFB">
        <w:rPr>
          <w:rFonts w:ascii="David" w:eastAsia="Calibri" w:hAnsi="David"/>
          <w:noProof w:val="0"/>
          <w:rtl/>
        </w:rPr>
        <w:t xml:space="preserve">יש </w:t>
      </w:r>
      <w:r w:rsidRPr="00B75855">
        <w:rPr>
          <w:rFonts w:ascii="David" w:eastAsia="Calibri" w:hAnsi="David"/>
          <w:b/>
          <w:bCs/>
          <w:noProof w:val="0"/>
          <w:rtl/>
        </w:rPr>
        <w:t>ל</w:t>
      </w:r>
      <w:r w:rsidR="006308DC" w:rsidRPr="00B75855">
        <w:rPr>
          <w:rFonts w:ascii="David" w:eastAsia="Calibri" w:hAnsi="David" w:hint="cs"/>
          <w:b/>
          <w:bCs/>
          <w:noProof w:val="0"/>
          <w:rtl/>
        </w:rPr>
        <w:t>הסיר את חיסיון</w:t>
      </w:r>
      <w:r w:rsidR="006308DC" w:rsidRPr="00734FFB">
        <w:rPr>
          <w:rFonts w:ascii="David" w:eastAsia="Calibri" w:hAnsi="David"/>
          <w:noProof w:val="0"/>
          <w:rtl/>
        </w:rPr>
        <w:t xml:space="preserve"> עו"ד לקוח ביחסים בין </w:t>
      </w:r>
      <w:r w:rsidR="006308DC" w:rsidRPr="00EB09A6">
        <w:rPr>
          <w:rFonts w:ascii="David" w:eastAsia="Calibri" w:hAnsi="David"/>
          <w:noProof w:val="0"/>
          <w:rtl/>
        </w:rPr>
        <w:t xml:space="preserve">עורך הדין </w:t>
      </w:r>
      <w:r w:rsidR="002B08A8" w:rsidRPr="00EB09A6">
        <w:rPr>
          <w:rFonts w:ascii="David" w:eastAsia="Calibri" w:hAnsi="David"/>
          <w:noProof w:val="0"/>
          <w:rtl/>
        </w:rPr>
        <w:t>א'</w:t>
      </w:r>
      <w:r w:rsidR="006308DC" w:rsidRPr="00734FFB">
        <w:rPr>
          <w:rFonts w:ascii="David" w:eastAsia="Calibri" w:hAnsi="David"/>
          <w:noProof w:val="0"/>
          <w:rtl/>
        </w:rPr>
        <w:t xml:space="preserve"> שערך את ייפוי הכוח המתמשך עבור </w:t>
      </w:r>
      <w:r w:rsidR="006308DC" w:rsidRPr="00734FFB">
        <w:rPr>
          <w:rFonts w:ascii="David" w:eastAsia="Calibri" w:hAnsi="David"/>
          <w:noProof w:val="0"/>
          <w:rtl/>
        </w:rPr>
        <w:lastRenderedPageBreak/>
        <w:t xml:space="preserve">הגב' </w:t>
      </w:r>
      <w:r w:rsidR="00775F80">
        <w:rPr>
          <w:rFonts w:ascii="David" w:eastAsia="Calibri" w:hAnsi="David" w:hint="cs"/>
          <w:noProof w:val="0"/>
          <w:rtl/>
        </w:rPr>
        <w:t>ל'</w:t>
      </w:r>
      <w:r w:rsidR="006308DC" w:rsidRPr="00734FFB">
        <w:rPr>
          <w:rFonts w:ascii="David" w:eastAsia="Calibri" w:hAnsi="David"/>
          <w:noProof w:val="0"/>
          <w:rtl/>
        </w:rPr>
        <w:t xml:space="preserve"> - לבין הגב' </w:t>
      </w:r>
      <w:r w:rsidR="00775F80">
        <w:rPr>
          <w:rFonts w:ascii="David" w:eastAsia="Calibri" w:hAnsi="David" w:hint="cs"/>
          <w:noProof w:val="0"/>
          <w:rtl/>
        </w:rPr>
        <w:t>ל'</w:t>
      </w:r>
      <w:r w:rsidR="006308DC" w:rsidRPr="00734FFB">
        <w:rPr>
          <w:rFonts w:ascii="David" w:eastAsia="Calibri" w:hAnsi="David"/>
          <w:noProof w:val="0"/>
          <w:rtl/>
        </w:rPr>
        <w:t xml:space="preserve"> </w:t>
      </w:r>
      <w:r w:rsidR="007B0C2F">
        <w:rPr>
          <w:rFonts w:ascii="David" w:eastAsia="Calibri" w:hAnsi="David"/>
          <w:noProof w:val="0"/>
          <w:rtl/>
        </w:rPr>
        <w:t>–</w:t>
      </w:r>
      <w:r w:rsidR="006308DC" w:rsidRPr="00734FFB">
        <w:rPr>
          <w:rFonts w:ascii="David" w:eastAsia="Calibri" w:hAnsi="David"/>
          <w:noProof w:val="0"/>
          <w:rtl/>
        </w:rPr>
        <w:t xml:space="preserve"> הממנה</w:t>
      </w:r>
      <w:r w:rsidR="007B0C2F">
        <w:rPr>
          <w:rFonts w:ascii="David" w:eastAsia="Calibri" w:hAnsi="David" w:hint="cs"/>
          <w:noProof w:val="0"/>
          <w:rtl/>
        </w:rPr>
        <w:t>,</w:t>
      </w:r>
      <w:r w:rsidR="006308DC" w:rsidRPr="00734FFB">
        <w:rPr>
          <w:rFonts w:ascii="David" w:eastAsia="Calibri" w:hAnsi="David" w:hint="cs"/>
          <w:noProof w:val="0"/>
          <w:rtl/>
        </w:rPr>
        <w:t xml:space="preserve"> </w:t>
      </w:r>
      <w:r w:rsidR="006308DC" w:rsidRPr="00734FFB">
        <w:rPr>
          <w:rFonts w:ascii="David" w:eastAsia="Calibri" w:hAnsi="David"/>
          <w:noProof w:val="0"/>
          <w:rtl/>
        </w:rPr>
        <w:t>בכל הנוגע לנסיבות עריכת ייפוי הכוח המתמשך</w:t>
      </w:r>
      <w:r w:rsidR="006308DC" w:rsidRPr="00734FFB">
        <w:rPr>
          <w:rFonts w:ascii="David" w:eastAsia="Calibri" w:hAnsi="David" w:hint="cs"/>
          <w:noProof w:val="0"/>
          <w:rtl/>
        </w:rPr>
        <w:t xml:space="preserve">, </w:t>
      </w:r>
      <w:r w:rsidR="00E02608" w:rsidRPr="00734FFB">
        <w:rPr>
          <w:rFonts w:ascii="David" w:eastAsia="Calibri" w:hAnsi="David"/>
          <w:noProof w:val="0"/>
          <w:rtl/>
        </w:rPr>
        <w:t>זאת מפאת טובתה</w:t>
      </w:r>
      <w:r w:rsidR="00E02608" w:rsidRPr="00734FFB">
        <w:rPr>
          <w:rFonts w:ascii="David" w:eastAsia="Calibri" w:hAnsi="David" w:hint="cs"/>
          <w:noProof w:val="0"/>
          <w:rtl/>
        </w:rPr>
        <w:t xml:space="preserve"> של הממנה;</w:t>
      </w:r>
      <w:r w:rsidRPr="00734FFB">
        <w:rPr>
          <w:rFonts w:ascii="David" w:eastAsia="Calibri" w:hAnsi="David"/>
          <w:noProof w:val="0"/>
          <w:rtl/>
        </w:rPr>
        <w:t xml:space="preserve"> </w:t>
      </w:r>
      <w:r w:rsidR="006308DC" w:rsidRPr="00734FFB">
        <w:rPr>
          <w:rFonts w:ascii="David" w:eastAsia="Calibri" w:hAnsi="David"/>
          <w:noProof w:val="0"/>
          <w:rtl/>
        </w:rPr>
        <w:t xml:space="preserve">לנוכח עמדת האפוטרופוס הזמני שבא בנעלי הגב' </w:t>
      </w:r>
      <w:r w:rsidR="00775F80">
        <w:rPr>
          <w:rFonts w:ascii="David" w:eastAsia="Calibri" w:hAnsi="David" w:hint="cs"/>
          <w:noProof w:val="0"/>
          <w:rtl/>
        </w:rPr>
        <w:t>ל'</w:t>
      </w:r>
      <w:r w:rsidR="006308DC" w:rsidRPr="00734FFB">
        <w:rPr>
          <w:rFonts w:ascii="David" w:eastAsia="Calibri" w:hAnsi="David"/>
          <w:noProof w:val="0"/>
          <w:rtl/>
        </w:rPr>
        <w:t xml:space="preserve"> לעניין זה</w:t>
      </w:r>
      <w:r w:rsidR="006308DC" w:rsidRPr="00734FFB">
        <w:rPr>
          <w:rFonts w:ascii="David" w:eastAsia="Calibri" w:hAnsi="David" w:hint="cs"/>
          <w:noProof w:val="0"/>
          <w:rtl/>
        </w:rPr>
        <w:t>,</w:t>
      </w:r>
      <w:r w:rsidR="006308DC" w:rsidRPr="00734FFB">
        <w:rPr>
          <w:rFonts w:ascii="David" w:eastAsia="Calibri" w:hAnsi="David"/>
          <w:noProof w:val="0"/>
          <w:rtl/>
        </w:rPr>
        <w:t xml:space="preserve"> ותמך כאמור בהסרת החיסיון בשם טובתה</w:t>
      </w:r>
      <w:r w:rsidR="006308DC" w:rsidRPr="00734FFB">
        <w:rPr>
          <w:rFonts w:ascii="David" w:eastAsia="Calibri" w:hAnsi="David" w:hint="cs"/>
          <w:noProof w:val="0"/>
          <w:rtl/>
        </w:rPr>
        <w:t>;</w:t>
      </w:r>
      <w:r w:rsidR="006308DC" w:rsidRPr="00734FFB">
        <w:rPr>
          <w:rFonts w:ascii="David" w:eastAsia="Calibri" w:hAnsi="David"/>
          <w:noProof w:val="0"/>
          <w:rtl/>
        </w:rPr>
        <w:t xml:space="preserve"> </w:t>
      </w:r>
      <w:r w:rsidRPr="00734FFB">
        <w:rPr>
          <w:rFonts w:ascii="David" w:eastAsia="Calibri" w:hAnsi="David"/>
          <w:noProof w:val="0"/>
          <w:rtl/>
        </w:rPr>
        <w:t xml:space="preserve">לאור דרישת הדין </w:t>
      </w:r>
      <w:r w:rsidR="006308DC" w:rsidRPr="00734FFB">
        <w:rPr>
          <w:rFonts w:ascii="David" w:eastAsia="Calibri" w:hAnsi="David" w:hint="cs"/>
          <w:noProof w:val="0"/>
          <w:rtl/>
        </w:rPr>
        <w:t xml:space="preserve">ולאור עמדת </w:t>
      </w:r>
      <w:r w:rsidR="006308DC" w:rsidRPr="00734FFB">
        <w:rPr>
          <w:rFonts w:ascii="David" w:eastAsia="Calibri" w:hAnsi="David"/>
          <w:noProof w:val="0"/>
          <w:rtl/>
        </w:rPr>
        <w:t>ב"כ היועמ"ש</w:t>
      </w:r>
      <w:r w:rsidR="00E02608" w:rsidRPr="00734FFB">
        <w:rPr>
          <w:rFonts w:ascii="David" w:eastAsia="Calibri" w:hAnsi="David" w:hint="cs"/>
          <w:noProof w:val="0"/>
          <w:rtl/>
        </w:rPr>
        <w:t>; כאשר לאחר שהוגשו כלל עמדות הצדדים עולה ממילא כי אין מי שמתנגד לכך</w:t>
      </w:r>
      <w:r w:rsidR="006308DC" w:rsidRPr="00734FFB">
        <w:rPr>
          <w:rFonts w:ascii="David" w:eastAsia="Calibri" w:hAnsi="David" w:hint="cs"/>
          <w:noProof w:val="0"/>
          <w:rtl/>
        </w:rPr>
        <w:t>.</w:t>
      </w:r>
      <w:r w:rsidR="00734FFB">
        <w:rPr>
          <w:rFonts w:ascii="David" w:eastAsia="Calibri" w:hAnsi="David" w:hint="cs"/>
          <w:noProof w:val="0"/>
          <w:rtl/>
        </w:rPr>
        <w:t xml:space="preserve"> </w:t>
      </w:r>
      <w:r w:rsidRPr="00734FFB">
        <w:rPr>
          <w:rFonts w:ascii="David" w:eastAsia="Calibri" w:hAnsi="David"/>
          <w:noProof w:val="0"/>
          <w:rtl/>
        </w:rPr>
        <w:t>להלן אבאר.</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תיקון מס' 18 לחוק הכשרות המשפטית הביא לשינוי בדין עת נקבע מוסד חדש - ייפוי הכוח המתמשך, כחלופה לאפוטרופסות. הולדתו של התיקון לחוק הכשרות, אשר נעשה על רקע סעיף 12 לאמנת האו"ם בדבר זכויותיהם של אנשים עם מוגבלויות, מבטא את השאיפה להתנתק מן הגישה הפטרנליסטית כלפי קבוצות אוכלוסייה אלה, כקבוצות מוחלשות הזקוקות לסעד ולהתערבות מטעם המדינה, ומעבר לתפיסה אוטונומית</w:t>
      </w:r>
      <w:r w:rsidR="00611BD0">
        <w:rPr>
          <w:rFonts w:ascii="David" w:eastAsia="Calibri" w:hAnsi="David" w:hint="cs"/>
          <w:noProof w:val="0"/>
          <w:rtl/>
        </w:rPr>
        <w:t xml:space="preserve"> -</w:t>
      </w:r>
      <w:r w:rsidRPr="00DD37D8">
        <w:rPr>
          <w:rFonts w:ascii="David" w:eastAsia="Calibri" w:hAnsi="David"/>
          <w:noProof w:val="0"/>
          <w:rtl/>
        </w:rPr>
        <w:t xml:space="preserve"> השמה דגש על </w:t>
      </w:r>
      <w:r w:rsidRPr="00F25B1C">
        <w:rPr>
          <w:rFonts w:ascii="David" w:eastAsia="Calibri" w:hAnsi="David"/>
          <w:b/>
          <w:bCs/>
          <w:noProof w:val="0"/>
          <w:rtl/>
        </w:rPr>
        <w:t>כבודם ועל זכויותיהם</w:t>
      </w:r>
      <w:r w:rsidRPr="00DD37D8">
        <w:rPr>
          <w:rFonts w:ascii="David" w:eastAsia="Calibri" w:hAnsi="David"/>
          <w:noProof w:val="0"/>
          <w:rtl/>
        </w:rPr>
        <w:t xml:space="preserve">, בשים לב לשונות ולנבדלות של כל אדם ואדם, על קיומו של מגוון מוגבלויות, מתוך הצורך בכיבוד רצונו של האדם המסוים עד כמה שאפשר, חירותו, ושיתופו בהחלטות הנוגעות </w:t>
      </w:r>
      <w:r w:rsidR="002B08A8">
        <w:rPr>
          <w:rFonts w:ascii="David" w:eastAsia="Calibri" w:hAnsi="David"/>
          <w:noProof w:val="0"/>
          <w:rtl/>
        </w:rPr>
        <w:t>א</w:t>
      </w:r>
      <w:r w:rsidR="00AE329D">
        <w:rPr>
          <w:rFonts w:ascii="David" w:eastAsia="Calibri" w:hAnsi="David" w:hint="cs"/>
          <w:noProof w:val="0"/>
          <w:rtl/>
        </w:rPr>
        <w:t>לי</w:t>
      </w:r>
      <w:r w:rsidRPr="00DD37D8">
        <w:rPr>
          <w:rFonts w:ascii="David" w:eastAsia="Calibri" w:hAnsi="David"/>
          <w:noProof w:val="0"/>
          <w:rtl/>
        </w:rPr>
        <w:t>ו. ראו: דברי ההסבר לחוק, ה"ח הממשלה (תשע"ה) 890, עמ' 2.</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F25B1C">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ייפוי כוח מתמשך הוא כלי באמצעותו רשאי אדם, בהיותו כשיר מבחינה משפטית ומסוגל לדאוג לענייניו, למנות </w:t>
      </w:r>
      <w:r w:rsidR="00EF6F99">
        <w:rPr>
          <w:rFonts w:ascii="David" w:eastAsia="Calibri" w:hAnsi="David" w:hint="cs"/>
          <w:noProof w:val="0"/>
          <w:rtl/>
        </w:rPr>
        <w:t xml:space="preserve">אדם </w:t>
      </w:r>
      <w:r w:rsidRPr="00DD37D8">
        <w:rPr>
          <w:rFonts w:ascii="David" w:eastAsia="Calibri" w:hAnsi="David"/>
          <w:noProof w:val="0"/>
          <w:rtl/>
        </w:rPr>
        <w:t xml:space="preserve">אחר לפעול בשמו ולדאוג לענייניו כפי שיוגדרו על ידו, החל מהמועד בו תיגרע כשרותו. על מנת להכיר בייפוי כוח כייפוי כוח מתמשך, עליו לעמוד בתנאים הקבועים בחוק הכשרות </w:t>
      </w:r>
      <w:r w:rsidR="00F25B1C">
        <w:rPr>
          <w:rFonts w:ascii="David" w:eastAsia="Calibri" w:hAnsi="David" w:hint="cs"/>
          <w:noProof w:val="0"/>
          <w:rtl/>
        </w:rPr>
        <w:t xml:space="preserve">לרבות בקשר </w:t>
      </w:r>
      <w:r w:rsidRPr="00DD37D8">
        <w:rPr>
          <w:rFonts w:ascii="David" w:eastAsia="Calibri" w:hAnsi="David"/>
          <w:noProof w:val="0"/>
          <w:rtl/>
        </w:rPr>
        <w:t xml:space="preserve">לאופן בו נערך (סעיף 32יג לחוק על תתי סעיפיו), באשר לאופן בו יש לחתום עליו ולאשר החתימה (סעיף 32יד לחוק), באשר להפקדתו בידי הגורם המוסמך לכך (סעיף 32יז לחוק) וכיו"ב. ראו: תמ"ש (ק' גת) 57254-12-16 </w:t>
      </w:r>
      <w:r w:rsidRPr="00DD37D8">
        <w:rPr>
          <w:rFonts w:ascii="David" w:eastAsia="Calibri" w:hAnsi="David"/>
          <w:b/>
          <w:bCs/>
          <w:noProof w:val="0"/>
          <w:rtl/>
        </w:rPr>
        <w:t>פלוני נ' היועץ המשפטי לממשלה משרד הרווחה והשירותים החברתיים</w:t>
      </w:r>
      <w:r w:rsidRPr="00DD37D8">
        <w:rPr>
          <w:rFonts w:ascii="David" w:eastAsia="Calibri" w:hAnsi="David"/>
          <w:noProof w:val="0"/>
          <w:rtl/>
        </w:rPr>
        <w:t xml:space="preserve"> (08.12.2019)‏‏. </w:t>
      </w:r>
    </w:p>
    <w:p w:rsidR="00DD37D8" w:rsidRPr="00DD37D8" w:rsidRDefault="00DD37D8" w:rsidP="00DD37D8">
      <w:pPr>
        <w:spacing w:after="160" w:line="256" w:lineRule="auto"/>
        <w:ind w:left="720"/>
        <w:contextualSpacing/>
        <w:rPr>
          <w:rFonts w:ascii="David" w:eastAsia="Calibri" w:hAnsi="David"/>
          <w:noProof w:val="0"/>
        </w:rPr>
      </w:pPr>
    </w:p>
    <w:p w:rsidR="00887E1D" w:rsidRDefault="00887E1D" w:rsidP="007263ED">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לצורך עריכת ייפו</w:t>
      </w:r>
      <w:r>
        <w:rPr>
          <w:rFonts w:ascii="David" w:eastAsia="Calibri" w:hAnsi="David" w:hint="eastAsia"/>
          <w:noProof w:val="0"/>
          <w:rtl/>
        </w:rPr>
        <w:t>י</w:t>
      </w:r>
      <w:r>
        <w:rPr>
          <w:rFonts w:ascii="David" w:eastAsia="Calibri" w:hAnsi="David" w:hint="cs"/>
          <w:noProof w:val="0"/>
          <w:rtl/>
        </w:rPr>
        <w:t xml:space="preserve"> כח מתמשך העורך דין נדרש לעבור הכשרה מיוחדת מטעם האפוטרופוס הכללי</w:t>
      </w:r>
      <w:r w:rsidR="007263ED">
        <w:rPr>
          <w:rFonts w:ascii="David" w:eastAsia="Calibri" w:hAnsi="David" w:hint="cs"/>
          <w:noProof w:val="0"/>
          <w:rtl/>
        </w:rPr>
        <w:t xml:space="preserve"> בשיתו</w:t>
      </w:r>
      <w:r w:rsidR="00235173">
        <w:rPr>
          <w:rFonts w:ascii="David" w:eastAsia="Calibri" w:hAnsi="David" w:hint="cs"/>
          <w:noProof w:val="0"/>
          <w:rtl/>
        </w:rPr>
        <w:t>ף עם לשכת עורכי הדין</w:t>
      </w:r>
      <w:r>
        <w:rPr>
          <w:rFonts w:ascii="David" w:eastAsia="Calibri" w:hAnsi="David" w:hint="cs"/>
          <w:noProof w:val="0"/>
          <w:rtl/>
        </w:rPr>
        <w:t xml:space="preserve"> בסיומה הוא מוסמך לעריכת ייפוי כח מתמשך.</w:t>
      </w:r>
    </w:p>
    <w:p w:rsidR="00887E1D" w:rsidRDefault="00887E1D" w:rsidP="00887E1D">
      <w:pPr>
        <w:pStyle w:val="ae"/>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סעיף 32יד לחוק הכשרות המשפטית מטיל על עוה"ד שעורך את ייפוי הכוח המתמשך שלל חובות, ובין היתר, נקבע בסעיף קטן (ה), כי: "</w:t>
      </w:r>
      <w:r w:rsidRPr="00DD37D8">
        <w:rPr>
          <w:rFonts w:ascii="David" w:eastAsia="Calibri" w:hAnsi="David"/>
          <w:b/>
          <w:bCs/>
          <w:noProof w:val="0"/>
          <w:rtl/>
        </w:rPr>
        <w:t>עורך הדין שבפניו נחתם ייפוי הכוח, יאשר על גבי הטופס כי הממנה חתם בפניו על ייפוי הכוח במועד הנקוב בו לאחר שהביא לידיעתו את הפרטים המפורטים בסעיף קטן (ג), וכי נוכח לדעת כי הממנה מבין את משמעות מתן ייפוי הכוח, מטרותיו ותוצאותיו והתרשם, לאחר שנתן על כך את דעתו, כי ייפוי הכוח ניתן בהסכמה חופשית ומרצון בלא שהופעלו על הממנה לחץ או השפעה בלתי הוגנת ובלא ניצול של מצוקתו או חולשתו"</w:t>
      </w:r>
      <w:r w:rsidRPr="00DD37D8">
        <w:rPr>
          <w:rFonts w:ascii="David" w:eastAsia="Calibri" w:hAnsi="David"/>
          <w:noProof w:val="0"/>
          <w:rtl/>
        </w:rPr>
        <w:t>.</w:t>
      </w:r>
    </w:p>
    <w:p w:rsidR="00DD37D8" w:rsidRPr="00DD37D8" w:rsidRDefault="00DD37D8" w:rsidP="00DD37D8">
      <w:pPr>
        <w:spacing w:after="160" w:line="256" w:lineRule="auto"/>
        <w:ind w:left="720"/>
        <w:contextualSpacing/>
        <w:rPr>
          <w:rFonts w:ascii="Calibri" w:eastAsia="Calibri" w:hAnsi="Calibri" w:cs="Arial"/>
          <w:noProof w:val="0"/>
          <w:sz w:val="22"/>
          <w:szCs w:val="22"/>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בדברי ההסבר לתיקון מס' 18 נאמר ביחס לסעיף זה (שבהצעת החוק מופיע בסעיף 32י (ז)) כי "</w:t>
      </w:r>
      <w:r w:rsidRPr="00DD37D8">
        <w:rPr>
          <w:rFonts w:ascii="David" w:eastAsia="Calibri" w:hAnsi="David"/>
          <w:b/>
          <w:bCs/>
          <w:noProof w:val="0"/>
          <w:rtl/>
        </w:rPr>
        <w:t>החתימה בפני עורך דין נותנת לממנה יתר הגנה וביטחון לגבי אפשרות עתי</w:t>
      </w:r>
      <w:r w:rsidR="0040405D">
        <w:rPr>
          <w:rFonts w:ascii="David" w:eastAsia="Calibri" w:hAnsi="David"/>
          <w:b/>
          <w:bCs/>
          <w:noProof w:val="0"/>
          <w:rtl/>
        </w:rPr>
        <w:t>דית כי יערערו על ייפוי הכוח, שכ</w:t>
      </w:r>
      <w:r w:rsidR="0040405D">
        <w:rPr>
          <w:rFonts w:ascii="David" w:eastAsia="Calibri" w:hAnsi="David" w:hint="cs"/>
          <w:b/>
          <w:bCs/>
          <w:noProof w:val="0"/>
          <w:rtl/>
        </w:rPr>
        <w:t>ן</w:t>
      </w:r>
      <w:r w:rsidRPr="00DD37D8">
        <w:rPr>
          <w:rFonts w:ascii="David" w:eastAsia="Calibri" w:hAnsi="David"/>
          <w:b/>
          <w:bCs/>
          <w:noProof w:val="0"/>
          <w:rtl/>
        </w:rPr>
        <w:t xml:space="preserve"> על עורך הדין לאשר כי הוא נוכח שהממנה הניצב לפניו מבין את </w:t>
      </w:r>
      <w:r w:rsidRPr="00DD37D8">
        <w:rPr>
          <w:rFonts w:ascii="David" w:eastAsia="Calibri" w:hAnsi="David"/>
          <w:b/>
          <w:bCs/>
          <w:noProof w:val="0"/>
          <w:rtl/>
        </w:rPr>
        <w:lastRenderedPageBreak/>
        <w:t>משמעות מתן ייפוי הכוח , מטרותיו ותוצאותיו וכי עשה את ייפוי הכוח בהסכמה חופשית ומרצון בלא שהופעלו עליו לחץ אן השפעה בלתי הוגנת ובלא ניצול של מצוקתו או חולשתו (ראה סעיף קטן (ז)). הוראה דומה קיימת בסעיף 2(ג1) לחוק יחסי ממון בין בני זוג, התשל"ג-1973</w:t>
      </w:r>
      <w:r w:rsidRPr="00DD37D8">
        <w:rPr>
          <w:rFonts w:ascii="David" w:eastAsia="Calibri" w:hAnsi="David"/>
          <w:noProof w:val="0"/>
          <w:rtl/>
        </w:rPr>
        <w:t>". ראו: ה"ח הממשלה (תשע"ה) 890, עמ' 13.</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יפים לעניין זה גם הדברים האמורים בספרו של </w:t>
      </w:r>
      <w:r w:rsidR="00961A24">
        <w:rPr>
          <w:rFonts w:ascii="David" w:eastAsia="Calibri" w:hAnsi="David" w:hint="cs"/>
          <w:noProof w:val="0"/>
          <w:rtl/>
        </w:rPr>
        <w:t xml:space="preserve">עו"ד </w:t>
      </w:r>
      <w:r w:rsidRPr="00DD37D8">
        <w:rPr>
          <w:rFonts w:ascii="David" w:eastAsia="Calibri" w:hAnsi="David"/>
          <w:noProof w:val="0"/>
          <w:rtl/>
        </w:rPr>
        <w:t xml:space="preserve">משה בן דוד, </w:t>
      </w:r>
      <w:r w:rsidRPr="00DD37D8">
        <w:rPr>
          <w:rFonts w:ascii="David" w:eastAsia="Calibri" w:hAnsi="David"/>
          <w:b/>
          <w:bCs/>
          <w:noProof w:val="0"/>
          <w:rtl/>
        </w:rPr>
        <w:t xml:space="preserve">ייפוי כוח מתמשך, אפוטרופסות וחלופותיה – הלכה ומעשה </w:t>
      </w:r>
      <w:r w:rsidRPr="00DD37D8">
        <w:rPr>
          <w:rFonts w:ascii="David" w:eastAsia="Calibri" w:hAnsi="David"/>
          <w:noProof w:val="0"/>
          <w:rtl/>
        </w:rPr>
        <w:t>(מהדורה שניה, 2019), בנוגע לכובד אחריותו של עוה"ד שעורך את ייפוי הכוח המתמשך:</w:t>
      </w:r>
    </w:p>
    <w:p w:rsidR="00DD37D8" w:rsidRPr="00DD37D8" w:rsidRDefault="00DD37D8" w:rsidP="00DD37D8">
      <w:pPr>
        <w:spacing w:line="360" w:lineRule="auto"/>
        <w:ind w:left="720"/>
        <w:contextualSpacing/>
        <w:jc w:val="both"/>
        <w:rPr>
          <w:rFonts w:ascii="David" w:eastAsia="Calibri" w:hAnsi="David"/>
          <w:noProof w:val="0"/>
        </w:rPr>
      </w:pPr>
      <w:r w:rsidRPr="00DD37D8">
        <w:rPr>
          <w:rFonts w:ascii="David" w:eastAsia="Calibri" w:hAnsi="David"/>
          <w:noProof w:val="0"/>
          <w:rtl/>
        </w:rPr>
        <w:t>"</w:t>
      </w:r>
      <w:r w:rsidRPr="00DD37D8">
        <w:rPr>
          <w:rFonts w:ascii="David" w:eastAsia="Calibri" w:hAnsi="David"/>
          <w:b/>
          <w:bCs/>
          <w:noProof w:val="0"/>
          <w:rtl/>
        </w:rPr>
        <w:t>בעת עריכת ייפוי הכוח על העורך לשוות לנגד עיניו את העובדה שהוא האחראי על התהליך המשפטי שהוא חלופת אפוטרופסות. ללא כלי עזר כמו כתבי טענות, תסקיר, עורך דין מייצג, עובד סוצי</w:t>
      </w:r>
      <w:r w:rsidR="002B08A8">
        <w:rPr>
          <w:rFonts w:ascii="David" w:eastAsia="Calibri" w:hAnsi="David"/>
          <w:b/>
          <w:bCs/>
          <w:noProof w:val="0"/>
          <w:rtl/>
        </w:rPr>
        <w:t>א</w:t>
      </w:r>
      <w:r w:rsidR="00510B59">
        <w:rPr>
          <w:rFonts w:ascii="David" w:eastAsia="Calibri" w:hAnsi="David" w:hint="cs"/>
          <w:b/>
          <w:bCs/>
          <w:noProof w:val="0"/>
          <w:rtl/>
        </w:rPr>
        <w:t>לי</w:t>
      </w:r>
      <w:r w:rsidRPr="00DD37D8">
        <w:rPr>
          <w:rFonts w:ascii="David" w:eastAsia="Calibri" w:hAnsi="David"/>
          <w:b/>
          <w:bCs/>
          <w:noProof w:val="0"/>
          <w:rtl/>
        </w:rPr>
        <w:t xml:space="preserve">. עליו האחריות לוודא הבנת המשמעות והתוצאות, הסכמה חופשית ורצון, היעדר השפעה בלתי הוגנת וללא ניצול מצוקה...כדי שיהיה ברור מה רצון הממנה ישנו צורך לוודא תחילה כי לממנה כשירות משפטית, ובין השאר הוא מבין למה הוא נפגש עם עורך ייפוי הכוח. מומלץ כי עורך היכ"מ יחשוש מפני תאונה משפטית, שבגינה הוא יזומן לחקירה על אודות נסיבות עריכת היכ"מ. במקרה כזה, הוא יישאל מן הסתם כיצד וידא את כשירותו של הניצב לפניו, ואחר כך כיצד וידא את שאר המרכיבים הקוגנטיביים הנדרשים בחוק כגון הסכמה חופשית ורצון. כדאי לעורך להניח כהנחת עבודה שלא יהיה פרט שלא יישאל לגביו, ולפיכך, חשוב שישאל ויברר כל פרט עליו הוא עלול להישאל "מדוע לא בדקת?"... ". </w:t>
      </w:r>
      <w:r w:rsidRPr="00DD37D8">
        <w:rPr>
          <w:rFonts w:ascii="David" w:eastAsia="Calibri" w:hAnsi="David"/>
          <w:noProof w:val="0"/>
          <w:rtl/>
        </w:rPr>
        <w:t xml:space="preserve"> ראו שם, בעמ' 185. </w:t>
      </w:r>
    </w:p>
    <w:p w:rsidR="00DD37D8" w:rsidRPr="00DD37D8" w:rsidRDefault="00DD37D8" w:rsidP="00DD37D8">
      <w:pPr>
        <w:spacing w:after="160" w:line="256" w:lineRule="auto"/>
        <w:ind w:left="720"/>
        <w:contextualSpacing/>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בין שלל החובות המוטלים בחוק על עורך הדין שעורך יכ"מ הוטלה אף חובה מרכזית של </w:t>
      </w:r>
      <w:r w:rsidRPr="00DD37D8">
        <w:rPr>
          <w:rFonts w:ascii="David" w:eastAsia="Calibri" w:hAnsi="David"/>
          <w:b/>
          <w:bCs/>
          <w:noProof w:val="0"/>
          <w:rtl/>
        </w:rPr>
        <w:t>מתן מידע והסברים</w:t>
      </w:r>
      <w:r w:rsidRPr="00DD37D8">
        <w:rPr>
          <w:rFonts w:ascii="David" w:eastAsia="Calibri" w:hAnsi="David"/>
          <w:noProof w:val="0"/>
          <w:rtl/>
        </w:rPr>
        <w:t xml:space="preserve"> לממנה על ייפוי הכוח, משמעותו והשלכותיו האפשריות  (סעיפים 32יג(ד) ו-32יד(ג) לחוק הכשרות</w:t>
      </w:r>
      <w:r w:rsidR="002A703F">
        <w:rPr>
          <w:rFonts w:ascii="David" w:eastAsia="Calibri" w:hAnsi="David" w:hint="cs"/>
          <w:noProof w:val="0"/>
          <w:rtl/>
        </w:rPr>
        <w:t xml:space="preserve"> המשפטית</w:t>
      </w:r>
      <w:r w:rsidRPr="00DD37D8">
        <w:rPr>
          <w:rFonts w:ascii="David" w:eastAsia="Calibri" w:hAnsi="David"/>
          <w:noProof w:val="0"/>
          <w:rtl/>
        </w:rPr>
        <w:t xml:space="preserve">). </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2A703F" w:rsidP="002A703F">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עו"ד </w:t>
      </w:r>
      <w:r w:rsidR="00DD37D8" w:rsidRPr="00DD37D8">
        <w:rPr>
          <w:rFonts w:ascii="David" w:eastAsia="Calibri" w:hAnsi="David"/>
          <w:noProof w:val="0"/>
          <w:rtl/>
        </w:rPr>
        <w:t>בן דוד הבהיר לעניין זה בספרו</w:t>
      </w:r>
      <w:r>
        <w:rPr>
          <w:rFonts w:ascii="David" w:eastAsia="Calibri" w:hAnsi="David" w:hint="cs"/>
          <w:noProof w:val="0"/>
          <w:rtl/>
        </w:rPr>
        <w:t xml:space="preserve"> הנ"ל</w:t>
      </w:r>
      <w:r w:rsidR="00DD37D8" w:rsidRPr="00DD37D8">
        <w:rPr>
          <w:rFonts w:ascii="David" w:eastAsia="Calibri" w:hAnsi="David"/>
          <w:noProof w:val="0"/>
          <w:rtl/>
        </w:rPr>
        <w:t xml:space="preserve"> כי על פי ידיעתו, הרי שאין תקדים להטלת חובה זו בשיטות משפט אחרות, ולפיכך ערך השוואה בין בעלי תפקידים אחרים בישראל על מנת להקיש מהם על היקף החובה המוטלת על עורך היכ"מ על פי החוק. (ראו פרק 7 בעמ' 195 ואילך לספרו). </w:t>
      </w:r>
    </w:p>
    <w:p w:rsidR="00DD37D8" w:rsidRPr="00DD37D8" w:rsidRDefault="00DD37D8" w:rsidP="00DD37D8">
      <w:pPr>
        <w:spacing w:after="160" w:line="256" w:lineRule="auto"/>
        <w:ind w:left="720"/>
        <w:contextualSpacing/>
        <w:rPr>
          <w:rFonts w:ascii="David" w:eastAsia="Calibri" w:hAnsi="David"/>
          <w:noProof w:val="0"/>
        </w:rPr>
      </w:pPr>
    </w:p>
    <w:p w:rsidR="00DD37D8" w:rsidRDefault="00235173" w:rsidP="00235173">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עו"ד בן דוד מתייחס לאחריות המוגברת המוטלת על </w:t>
      </w:r>
      <w:r w:rsidR="00240764">
        <w:rPr>
          <w:rFonts w:ascii="David" w:eastAsia="Calibri" w:hAnsi="David" w:hint="cs"/>
          <w:noProof w:val="0"/>
          <w:rtl/>
        </w:rPr>
        <w:t>עורך הדין עורך יכ"מ</w:t>
      </w:r>
      <w:r w:rsidR="00DD37D8" w:rsidRPr="00DD37D8">
        <w:rPr>
          <w:rFonts w:ascii="David" w:eastAsia="Calibri" w:hAnsi="David"/>
          <w:noProof w:val="0"/>
          <w:rtl/>
        </w:rPr>
        <w:t>: "...</w:t>
      </w:r>
      <w:r w:rsidR="00DD37D8" w:rsidRPr="00DD37D8">
        <w:rPr>
          <w:rFonts w:ascii="David" w:eastAsia="Calibri" w:hAnsi="David"/>
          <w:b/>
          <w:bCs/>
          <w:noProof w:val="0"/>
          <w:rtl/>
        </w:rPr>
        <w:t xml:space="preserve">קשה יהיה להפריז בחשיבות החתימה על היכ"מ על עתידו וגורלו של הממנה. אין מדובר בעניין משפטי הנוגע לנכס בודד, או לטיפול רפואי בודד, אלא למערכת שלימה שנועדה להסדיר את הטיפול בכל נכסי הממנה ובאופן הטיפול בו וברווחתו מרגע שכבר לא יהיה "מסוגל להבין בדבר". משנכנס היכ"מ לתוקף, הרי שהוא כמעט בלתי הפיך. </w:t>
      </w:r>
      <w:r w:rsidR="00DD37D8" w:rsidRPr="00DD37D8">
        <w:rPr>
          <w:rFonts w:ascii="David" w:eastAsia="Calibri" w:hAnsi="David"/>
          <w:b/>
          <w:bCs/>
          <w:noProof w:val="0"/>
          <w:u w:val="single"/>
          <w:rtl/>
        </w:rPr>
        <w:t>לפיכך האחריות המוטלת על עורך הדין לברר ולוודא שהממנה מבין היטב את משמעות המסמך עליו הוא חותם כבידה פי כמה</w:t>
      </w:r>
      <w:r w:rsidR="00DD37D8" w:rsidRPr="00DD37D8">
        <w:rPr>
          <w:rFonts w:ascii="David" w:eastAsia="Calibri" w:hAnsi="David"/>
          <w:b/>
          <w:bCs/>
          <w:noProof w:val="0"/>
          <w:rtl/>
        </w:rPr>
        <w:t>....</w:t>
      </w:r>
      <w:r w:rsidR="00DD37D8" w:rsidRPr="00DD37D8">
        <w:rPr>
          <w:rFonts w:ascii="David" w:eastAsia="Calibri" w:hAnsi="David"/>
          <w:b/>
          <w:bCs/>
          <w:noProof w:val="0"/>
          <w:u w:val="single"/>
          <w:rtl/>
        </w:rPr>
        <w:t xml:space="preserve">השאלה האם הממנה הבין היטב את משמעות היכ"מ, תעלה לדיון והכרעה </w:t>
      </w:r>
      <w:r w:rsidR="00DD37D8" w:rsidRPr="00DD37D8">
        <w:rPr>
          <w:rFonts w:ascii="David" w:eastAsia="Calibri" w:hAnsi="David"/>
          <w:b/>
          <w:bCs/>
          <w:noProof w:val="0"/>
          <w:u w:val="single"/>
          <w:rtl/>
        </w:rPr>
        <w:lastRenderedPageBreak/>
        <w:t>משפטית מדרך טבע בדיעבד, כאשר יתברר כי היכ"מ נוצל לרעה על ידי מיופה הכח, או כאשר מי מבני המשפחה, מבקש להטיל ספק בתקפותו</w:t>
      </w:r>
      <w:r w:rsidR="00DD37D8" w:rsidRPr="00DD37D8">
        <w:rPr>
          <w:rFonts w:ascii="David" w:eastAsia="Calibri" w:hAnsi="David"/>
          <w:b/>
          <w:bCs/>
          <w:noProof w:val="0"/>
          <w:rtl/>
        </w:rPr>
        <w:t>. במצבים של ניצול לרעה של היכ"מ, במיוחד כאשר אין גורם אחר שאותו ניתן לתבוע, כגון שלא ניתן להיפרע ממיופה הכח, ינסו הנפגעים מכך, להעלות טענות כנגד הליך החתימה של היכ"מ, אשר בדיעבד נתברר כי שימש כלי לניצול לרעה. טענות אלו, יסובו גם כנגד הליך מתן ההסבר והמידע, וייעשה ניסיון להטיל ספק באיכות ההסבר ובהבנת הממנה את משמעות חתימתו. במצבים אלו, כאשר אין גורם אחר שעליו ניתן להטיל אחריות, עלולה להיות נטיה להטיל אחריות מוגברת על עורך הדין, כדי שהנפגעים מהניצול לא יישארו חסרי כל</w:t>
      </w:r>
      <w:r w:rsidR="00DD37D8" w:rsidRPr="00DD37D8">
        <w:rPr>
          <w:rFonts w:ascii="David" w:eastAsia="Calibri" w:hAnsi="David"/>
          <w:noProof w:val="0"/>
          <w:rtl/>
        </w:rPr>
        <w:t>...." (עמ' 222-223).</w:t>
      </w:r>
    </w:p>
    <w:p w:rsidR="002A703F" w:rsidRPr="00DD37D8" w:rsidRDefault="002A703F" w:rsidP="002A703F">
      <w:pPr>
        <w:spacing w:after="160" w:line="360" w:lineRule="auto"/>
        <w:ind w:left="720"/>
        <w:contextualSpacing/>
        <w:jc w:val="both"/>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לנוכח נקודת המוצא כי מסמך היכ"מ אינו מהווה ראיה מספקת לכך שהממנה קיבל הסבר נדרש, אלא רק </w:t>
      </w:r>
      <w:r w:rsidRPr="00DD37D8">
        <w:rPr>
          <w:rFonts w:ascii="David" w:eastAsia="Calibri" w:hAnsi="David"/>
          <w:b/>
          <w:bCs/>
          <w:noProof w:val="0"/>
          <w:rtl/>
        </w:rPr>
        <w:t>ראיה לכאורה</w:t>
      </w:r>
      <w:r w:rsidRPr="00DD37D8">
        <w:rPr>
          <w:rFonts w:ascii="David" w:eastAsia="Calibri" w:hAnsi="David"/>
          <w:noProof w:val="0"/>
          <w:rtl/>
        </w:rPr>
        <w:t xml:space="preserve"> (זאת על פי חזקת התקינות של היכ"מ הנובעת מהוראת סעיף 32יז(ד) לחוק), מצא לנכון עו"ד בן דוד בספרו, לעמוד בין היתר, על </w:t>
      </w:r>
      <w:r w:rsidRPr="00DD37D8">
        <w:rPr>
          <w:rFonts w:ascii="David" w:eastAsia="Calibri" w:hAnsi="David"/>
          <w:b/>
          <w:bCs/>
          <w:noProof w:val="0"/>
          <w:rtl/>
        </w:rPr>
        <w:t>חשיבות התיעוד</w:t>
      </w:r>
      <w:r w:rsidRPr="00DD37D8">
        <w:rPr>
          <w:rFonts w:ascii="David" w:eastAsia="Calibri" w:hAnsi="David"/>
          <w:noProof w:val="0"/>
          <w:rtl/>
        </w:rPr>
        <w:t xml:space="preserve"> של עוה"ד עורך היכ"מ, לצורך עדותו בביהמ"ש: "</w:t>
      </w:r>
      <w:r w:rsidRPr="00DD37D8">
        <w:rPr>
          <w:rFonts w:ascii="David" w:eastAsia="Calibri" w:hAnsi="David"/>
          <w:b/>
          <w:bCs/>
          <w:noProof w:val="0"/>
          <w:u w:val="single"/>
          <w:rtl/>
        </w:rPr>
        <w:t>הנפקות היא בצורך לזמן את עורך היכ"מ לעדות שעה שתעלה טענה כנגד מהימנות היכ"מ כראיה, או אז לא ניתן יהיה להגיש את היכ"מ כמסמך ללא העדת העורך</w:t>
      </w:r>
      <w:r w:rsidRPr="00DD37D8">
        <w:rPr>
          <w:rFonts w:ascii="David" w:eastAsia="Calibri" w:hAnsi="David"/>
          <w:b/>
          <w:bCs/>
          <w:noProof w:val="0"/>
          <w:rtl/>
        </w:rPr>
        <w:t>. כפי שהזהרנו לעיל, ספק רב אם במהלך עדות יוכל העורך לעמוד בנטל השכנוע באמירה כללית כי הוא אינו זוכר את ההחתמה הספציפית, אולם הוא תמיד הקפיד ומקפיד לפעול לפי הנוהל הקיים אצלו בעת ההחתמה על יכ"מ. לפיכך, אף שאין בחוק דרישה מהממנה לתעד את הליך החתמת היכ"מ מעבר לשמירת עותק מהטופס, החכם עיניו בראשו, ומומלץ לתעד ולשמור תיעוד התהליך שעבר הממנה. בכלל זה מומלץ לערוך ולשמור תרשומת של הראיון שנערך עם הממנה (כפי שמומלץ לתעד את המידע והתהליך שעברו מיופי הכוח, כגון להחתים את מיופי הכוח על שאלונים). נטל הראיה להוכיח כי היכ"מ נערך כייאות הוא על המבקש להסתמך עליו והיכ"מ עצמו מהווה ראיה לכאורה לתקינותו. ככל שיתגלו פגמים ביכ"מ אין הוא בטל בהכרח מעיקרו, אלא שבמקרה זה, הנטל יגבר על שכמו של הצד המבקש להסתמך עליו".</w:t>
      </w:r>
      <w:r w:rsidRPr="00DD37D8">
        <w:rPr>
          <w:rFonts w:ascii="David" w:eastAsia="Calibri" w:hAnsi="David"/>
          <w:noProof w:val="0"/>
          <w:rtl/>
        </w:rPr>
        <w:t xml:space="preserve"> (עמ' 225).</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עינינו הרואות, תפקידו של עורך דין שעורך את ייפוי הכוח עבור הממנה הוא כשל "</w:t>
      </w:r>
      <w:r w:rsidRPr="00DD37D8">
        <w:rPr>
          <w:rFonts w:ascii="David" w:eastAsia="Calibri" w:hAnsi="David"/>
          <w:b/>
          <w:bCs/>
          <w:noProof w:val="0"/>
          <w:rtl/>
        </w:rPr>
        <w:t>שומר סף</w:t>
      </w:r>
      <w:r w:rsidRPr="00DD37D8">
        <w:rPr>
          <w:rFonts w:ascii="David" w:eastAsia="Calibri" w:hAnsi="David"/>
          <w:noProof w:val="0"/>
          <w:rtl/>
        </w:rPr>
        <w:t xml:space="preserve">", שאמור להבטיח את טובת הממנה ולהגן עליו מפני אפשרות עתידית כי יערערו על ייפוי הכוח. בכובעו זה, דומה אפוא כי </w:t>
      </w:r>
      <w:r w:rsidRPr="00DD37D8">
        <w:rPr>
          <w:rFonts w:ascii="David" w:eastAsia="Calibri" w:hAnsi="David"/>
          <w:b/>
          <w:bCs/>
          <w:noProof w:val="0"/>
          <w:rtl/>
        </w:rPr>
        <w:t>עדותו</w:t>
      </w:r>
      <w:r w:rsidRPr="00DD37D8">
        <w:rPr>
          <w:rFonts w:ascii="David" w:eastAsia="Calibri" w:hAnsi="David"/>
          <w:noProof w:val="0"/>
          <w:rtl/>
        </w:rPr>
        <w:t xml:space="preserve"> של עוה"ד שערך את היכ"מ, עת מתעוררת מחלוקת (בדיעבד) אודות תוקפו של היכ"מ, על נסיבות עריכת היכ"מ, </w:t>
      </w:r>
      <w:r w:rsidRPr="00DD37D8">
        <w:rPr>
          <w:rFonts w:ascii="David" w:eastAsia="Calibri" w:hAnsi="David"/>
          <w:b/>
          <w:bCs/>
          <w:noProof w:val="0"/>
          <w:rtl/>
        </w:rPr>
        <w:t>מהווה המשך ישיר של חובתו זו, ושל אחריותו כלפי הממנה.</w:t>
      </w:r>
      <w:r w:rsidRPr="00DD37D8">
        <w:rPr>
          <w:rFonts w:ascii="David" w:eastAsia="Calibri" w:hAnsi="David"/>
          <w:noProof w:val="0"/>
          <w:rtl/>
        </w:rPr>
        <w:t xml:space="preserve"> </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6E47A5">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אף לו נבחן זאת מצדו השני של המטבע – מנקודת מבטו של </w:t>
      </w:r>
      <w:r w:rsidRPr="00DD37D8">
        <w:rPr>
          <w:rFonts w:ascii="David" w:eastAsia="Calibri" w:hAnsi="David"/>
          <w:b/>
          <w:bCs/>
          <w:noProof w:val="0"/>
          <w:rtl/>
        </w:rPr>
        <w:t>הממנה</w:t>
      </w:r>
      <w:r w:rsidRPr="00DD37D8">
        <w:rPr>
          <w:rFonts w:ascii="David" w:eastAsia="Calibri" w:hAnsi="David"/>
          <w:noProof w:val="0"/>
          <w:rtl/>
        </w:rPr>
        <w:t xml:space="preserve"> עצמו – הרי שגם אז דומה כי מדובר </w:t>
      </w:r>
      <w:r w:rsidRPr="00DD37D8">
        <w:rPr>
          <w:rFonts w:ascii="David" w:eastAsia="Calibri" w:hAnsi="David"/>
          <w:b/>
          <w:bCs/>
          <w:noProof w:val="0"/>
          <w:rtl/>
        </w:rPr>
        <w:t>באינטרס טבוע</w:t>
      </w:r>
      <w:r w:rsidRPr="00DD37D8">
        <w:rPr>
          <w:rFonts w:ascii="David" w:eastAsia="Calibri" w:hAnsi="David"/>
          <w:noProof w:val="0"/>
          <w:rtl/>
        </w:rPr>
        <w:t xml:space="preserve"> של הממנה כי עורך הדין שערך עבורו את ייפוי הכוח המתמשך יעיד עבורו עת עולה בכך צורך </w:t>
      </w:r>
      <w:r w:rsidR="006E47A5">
        <w:rPr>
          <w:rFonts w:ascii="David" w:eastAsia="Calibri" w:hAnsi="David" w:hint="cs"/>
          <w:noProof w:val="0"/>
          <w:rtl/>
        </w:rPr>
        <w:t>בעתיד</w:t>
      </w:r>
      <w:r w:rsidRPr="00DD37D8">
        <w:rPr>
          <w:rFonts w:ascii="David" w:eastAsia="Calibri" w:hAnsi="David"/>
          <w:noProof w:val="0"/>
          <w:rtl/>
        </w:rPr>
        <w:t xml:space="preserve">, </w:t>
      </w:r>
      <w:r w:rsidR="006E47A5">
        <w:rPr>
          <w:rFonts w:ascii="David" w:eastAsia="Calibri" w:hAnsi="David" w:hint="cs"/>
          <w:noProof w:val="0"/>
          <w:rtl/>
        </w:rPr>
        <w:t>ככל ש</w:t>
      </w:r>
      <w:r w:rsidRPr="00DD37D8">
        <w:rPr>
          <w:rFonts w:ascii="David" w:eastAsia="Calibri" w:hAnsi="David"/>
          <w:noProof w:val="0"/>
          <w:rtl/>
        </w:rPr>
        <w:t xml:space="preserve">מאן דהוא יערער על תוקפו של היכ"מ שערך עבורו, ובמובן זה ניתן אפוא לדמות את עורך הדין שערך את היכ"מ אף "כידו הארוכה" </w:t>
      </w:r>
      <w:r w:rsidRPr="00DD37D8">
        <w:rPr>
          <w:rFonts w:ascii="David" w:eastAsia="Calibri" w:hAnsi="David"/>
          <w:noProof w:val="0"/>
          <w:rtl/>
        </w:rPr>
        <w:lastRenderedPageBreak/>
        <w:t>של הממנה, שכן הוא גורם שיכול להעיד על נסיבות עריכת היכ"מ לאחר שנגרעת כשרותו של הממנה והוא עצמו אינו יכול עוד להידרש לכך.</w:t>
      </w:r>
    </w:p>
    <w:p w:rsidR="00DD37D8" w:rsidRPr="00DD37D8" w:rsidRDefault="00DD37D8" w:rsidP="00DD37D8">
      <w:pPr>
        <w:spacing w:after="160" w:line="256" w:lineRule="auto"/>
        <w:ind w:left="720"/>
        <w:contextualSpacing/>
        <w:rPr>
          <w:rFonts w:ascii="David" w:eastAsia="Calibri" w:hAnsi="David"/>
          <w:noProof w:val="0"/>
        </w:rPr>
      </w:pPr>
    </w:p>
    <w:p w:rsidR="00DD37D8" w:rsidRDefault="00872F43" w:rsidP="00DE1AB5">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לאור האמור</w:t>
      </w:r>
      <w:r w:rsidR="006E47A5" w:rsidRPr="008A3AFC">
        <w:rPr>
          <w:rFonts w:ascii="David" w:eastAsia="Calibri" w:hAnsi="David" w:hint="cs"/>
          <w:noProof w:val="0"/>
          <w:rtl/>
        </w:rPr>
        <w:t xml:space="preserve">, </w:t>
      </w:r>
      <w:r w:rsidR="00235173">
        <w:rPr>
          <w:rFonts w:ascii="David" w:eastAsia="Calibri" w:hAnsi="David" w:hint="cs"/>
          <w:noProof w:val="0"/>
          <w:rtl/>
        </w:rPr>
        <w:t>סבורתני כי מעצם טיבו וטבעו של י</w:t>
      </w:r>
      <w:r>
        <w:rPr>
          <w:rFonts w:ascii="David" w:eastAsia="Calibri" w:hAnsi="David" w:hint="cs"/>
          <w:noProof w:val="0"/>
          <w:rtl/>
        </w:rPr>
        <w:t>י</w:t>
      </w:r>
      <w:r w:rsidR="00235173">
        <w:rPr>
          <w:rFonts w:ascii="David" w:eastAsia="Calibri" w:hAnsi="David" w:hint="cs"/>
          <w:noProof w:val="0"/>
          <w:rtl/>
        </w:rPr>
        <w:t>פויי הכ</w:t>
      </w:r>
      <w:r w:rsidR="00DE1AB5">
        <w:rPr>
          <w:rFonts w:ascii="David" w:eastAsia="Calibri" w:hAnsi="David" w:hint="cs"/>
          <w:noProof w:val="0"/>
          <w:rtl/>
        </w:rPr>
        <w:t>ו</w:t>
      </w:r>
      <w:r>
        <w:rPr>
          <w:rFonts w:ascii="David" w:eastAsia="Calibri" w:hAnsi="David" w:hint="cs"/>
          <w:noProof w:val="0"/>
          <w:rtl/>
        </w:rPr>
        <w:t>ח</w:t>
      </w:r>
      <w:r w:rsidR="00235173">
        <w:rPr>
          <w:rFonts w:ascii="David" w:eastAsia="Calibri" w:hAnsi="David" w:hint="cs"/>
          <w:noProof w:val="0"/>
          <w:rtl/>
        </w:rPr>
        <w:t xml:space="preserve"> </w:t>
      </w:r>
      <w:r>
        <w:rPr>
          <w:rFonts w:ascii="David" w:eastAsia="Calibri" w:hAnsi="David" w:hint="cs"/>
          <w:noProof w:val="0"/>
          <w:rtl/>
        </w:rPr>
        <w:t>המתמשך לא יכולה להיות</w:t>
      </w:r>
      <w:r w:rsidR="00235173">
        <w:rPr>
          <w:rFonts w:ascii="David" w:eastAsia="Calibri" w:hAnsi="David" w:hint="cs"/>
          <w:noProof w:val="0"/>
          <w:rtl/>
        </w:rPr>
        <w:t xml:space="preserve"> </w:t>
      </w:r>
      <w:r w:rsidR="00DD37D8" w:rsidRPr="008A3AFC">
        <w:rPr>
          <w:rFonts w:ascii="David" w:eastAsia="Calibri" w:hAnsi="David"/>
          <w:noProof w:val="0"/>
          <w:rtl/>
        </w:rPr>
        <w:t>רלוונטיות ל</w:t>
      </w:r>
      <w:r w:rsidR="006E47A5" w:rsidRPr="008A3AFC">
        <w:rPr>
          <w:rFonts w:ascii="David" w:eastAsia="Calibri" w:hAnsi="David" w:hint="cs"/>
          <w:noProof w:val="0"/>
          <w:rtl/>
        </w:rPr>
        <w:t xml:space="preserve">עיקרון </w:t>
      </w:r>
      <w:r w:rsidR="00DD37D8" w:rsidRPr="008A3AFC">
        <w:rPr>
          <w:rFonts w:ascii="David" w:eastAsia="Calibri" w:hAnsi="David"/>
          <w:noProof w:val="0"/>
          <w:rtl/>
        </w:rPr>
        <w:t>חיסיון עו"ד</w:t>
      </w:r>
      <w:r w:rsidR="00DE1AB5">
        <w:rPr>
          <w:rFonts w:ascii="David" w:eastAsia="Calibri" w:hAnsi="David"/>
          <w:noProof w:val="0"/>
          <w:rtl/>
        </w:rPr>
        <w:t xml:space="preserve"> לקוח במישור היחסים שבין עורך </w:t>
      </w:r>
      <w:r w:rsidR="00DE1AB5">
        <w:rPr>
          <w:rFonts w:ascii="David" w:eastAsia="Calibri" w:hAnsi="David" w:hint="cs"/>
          <w:noProof w:val="0"/>
          <w:rtl/>
        </w:rPr>
        <w:t xml:space="preserve">ייפוי הכוח המתמשך </w:t>
      </w:r>
      <w:r w:rsidR="00DD37D8" w:rsidRPr="008A3AFC">
        <w:rPr>
          <w:rFonts w:ascii="David" w:eastAsia="Calibri" w:hAnsi="David"/>
          <w:noProof w:val="0"/>
          <w:rtl/>
        </w:rPr>
        <w:t>לבין הממנה, למצער</w:t>
      </w:r>
      <w:r w:rsidR="002A703F" w:rsidRPr="008A3AFC">
        <w:rPr>
          <w:rFonts w:ascii="David" w:eastAsia="Calibri" w:hAnsi="David" w:hint="cs"/>
          <w:noProof w:val="0"/>
          <w:rtl/>
        </w:rPr>
        <w:t>,</w:t>
      </w:r>
      <w:r w:rsidR="00DD37D8" w:rsidRPr="008A3AFC">
        <w:rPr>
          <w:rFonts w:ascii="David" w:eastAsia="Calibri" w:hAnsi="David"/>
          <w:noProof w:val="0"/>
          <w:rtl/>
        </w:rPr>
        <w:t xml:space="preserve"> בשלב שלאחר גריעת כשרותו של הממנה, אז דומה כי ההיפך הוא הנכון, וכי על פי שורת הדין, והחובות שהוטלו על עורך היכ"מ, </w:t>
      </w:r>
      <w:r w:rsidR="00DD37D8" w:rsidRPr="008A3AFC">
        <w:rPr>
          <w:rFonts w:ascii="David" w:eastAsia="Calibri" w:hAnsi="David"/>
          <w:b/>
          <w:bCs/>
          <w:noProof w:val="0"/>
          <w:rtl/>
        </w:rPr>
        <w:t>משתמעת מ</w:t>
      </w:r>
      <w:r w:rsidR="002B08A8">
        <w:rPr>
          <w:rFonts w:ascii="David" w:eastAsia="Calibri" w:hAnsi="David"/>
          <w:b/>
          <w:bCs/>
          <w:noProof w:val="0"/>
          <w:rtl/>
        </w:rPr>
        <w:t>א</w:t>
      </w:r>
      <w:r w:rsidR="00510B59">
        <w:rPr>
          <w:rFonts w:ascii="David" w:eastAsia="Calibri" w:hAnsi="David" w:hint="cs"/>
          <w:b/>
          <w:bCs/>
          <w:noProof w:val="0"/>
          <w:rtl/>
        </w:rPr>
        <w:t>לי</w:t>
      </w:r>
      <w:r w:rsidR="00DD37D8" w:rsidRPr="008A3AFC">
        <w:rPr>
          <w:rFonts w:ascii="David" w:eastAsia="Calibri" w:hAnsi="David"/>
          <w:b/>
          <w:bCs/>
          <w:noProof w:val="0"/>
          <w:rtl/>
        </w:rPr>
        <w:t xml:space="preserve">ה אף </w:t>
      </w:r>
      <w:r w:rsidR="00DD37D8" w:rsidRPr="008A3AFC">
        <w:rPr>
          <w:rFonts w:ascii="David" w:eastAsia="Calibri" w:hAnsi="David"/>
          <w:b/>
          <w:bCs/>
          <w:noProof w:val="0"/>
          <w:u w:val="single"/>
          <w:rtl/>
        </w:rPr>
        <w:t>חובתו להעיד</w:t>
      </w:r>
      <w:r w:rsidR="00DD37D8" w:rsidRPr="008A3AFC">
        <w:rPr>
          <w:rFonts w:ascii="David" w:eastAsia="Calibri" w:hAnsi="David"/>
          <w:noProof w:val="0"/>
          <w:rtl/>
        </w:rPr>
        <w:t xml:space="preserve"> </w:t>
      </w:r>
      <w:r w:rsidR="00DD37D8" w:rsidRPr="008A3AFC">
        <w:rPr>
          <w:rFonts w:ascii="David" w:eastAsia="Calibri" w:hAnsi="David"/>
          <w:b/>
          <w:bCs/>
          <w:noProof w:val="0"/>
          <w:rtl/>
        </w:rPr>
        <w:t>אודות נסיבות עריכת היכ"מ הספציפי</w:t>
      </w:r>
      <w:r w:rsidR="00130832" w:rsidRPr="008A3AFC">
        <w:rPr>
          <w:rFonts w:ascii="David" w:eastAsia="Calibri" w:hAnsi="David" w:hint="cs"/>
          <w:noProof w:val="0"/>
          <w:rtl/>
        </w:rPr>
        <w:t xml:space="preserve">, </w:t>
      </w:r>
      <w:r w:rsidR="00130832" w:rsidRPr="008A3AFC">
        <w:rPr>
          <w:rFonts w:ascii="David" w:eastAsia="Calibri" w:hAnsi="David" w:hint="cs"/>
          <w:b/>
          <w:bCs/>
          <w:noProof w:val="0"/>
          <w:rtl/>
        </w:rPr>
        <w:t>כשירותו ואומד דעתו של הממנה</w:t>
      </w:r>
      <w:r w:rsidR="00130832" w:rsidRPr="008A3AFC">
        <w:rPr>
          <w:rFonts w:ascii="David" w:eastAsia="Calibri" w:hAnsi="David" w:hint="cs"/>
          <w:noProof w:val="0"/>
          <w:rtl/>
        </w:rPr>
        <w:t xml:space="preserve">, עת מתנהל </w:t>
      </w:r>
      <w:r w:rsidR="00DD37D8" w:rsidRPr="008A3AFC">
        <w:rPr>
          <w:rFonts w:ascii="David" w:eastAsia="Calibri" w:hAnsi="David"/>
          <w:noProof w:val="0"/>
          <w:rtl/>
        </w:rPr>
        <w:t xml:space="preserve">הליך משפטי ביחס לתוקפו של </w:t>
      </w:r>
      <w:r w:rsidR="00DE1AB5">
        <w:rPr>
          <w:rFonts w:ascii="David" w:eastAsia="Calibri" w:hAnsi="David" w:hint="cs"/>
          <w:noProof w:val="0"/>
          <w:rtl/>
        </w:rPr>
        <w:t xml:space="preserve">ייפוי הכוח המתמשך </w:t>
      </w:r>
      <w:r w:rsidR="00DD37D8" w:rsidRPr="008A3AFC">
        <w:rPr>
          <w:rFonts w:ascii="David" w:eastAsia="Calibri" w:hAnsi="David"/>
          <w:noProof w:val="0"/>
          <w:rtl/>
        </w:rPr>
        <w:t>בדיעבד.</w:t>
      </w:r>
    </w:p>
    <w:p w:rsidR="00235173" w:rsidRDefault="00235173" w:rsidP="00235173">
      <w:pPr>
        <w:pStyle w:val="ae"/>
        <w:rPr>
          <w:rFonts w:ascii="David" w:eastAsia="Calibri" w:hAnsi="David"/>
          <w:noProof w:val="0"/>
          <w:rtl/>
        </w:rPr>
      </w:pPr>
    </w:p>
    <w:p w:rsidR="00DD37D8" w:rsidRPr="00DD37D8" w:rsidRDefault="00DD37D8" w:rsidP="006E47A5">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מסקנה זו </w:t>
      </w:r>
      <w:r w:rsidR="006E47A5">
        <w:rPr>
          <w:rFonts w:ascii="David" w:eastAsia="Calibri" w:hAnsi="David" w:hint="cs"/>
          <w:noProof w:val="0"/>
          <w:rtl/>
        </w:rPr>
        <w:t xml:space="preserve">מתיישבת </w:t>
      </w:r>
      <w:r w:rsidR="002A703F">
        <w:rPr>
          <w:rFonts w:ascii="David" w:eastAsia="Calibri" w:hAnsi="David"/>
          <w:noProof w:val="0"/>
          <w:rtl/>
        </w:rPr>
        <w:t xml:space="preserve">אפוא עם מדיניות משרד המשפטים </w:t>
      </w:r>
      <w:r w:rsidRPr="00DD37D8">
        <w:rPr>
          <w:rFonts w:ascii="David" w:eastAsia="Calibri" w:hAnsi="David"/>
          <w:noProof w:val="0"/>
          <w:rtl/>
        </w:rPr>
        <w:t xml:space="preserve">עליה עמד אף ב"כ היועמ"ש בתגובותיו </w:t>
      </w:r>
      <w:r w:rsidR="006E47A5">
        <w:rPr>
          <w:rFonts w:ascii="David" w:eastAsia="Calibri" w:hAnsi="David" w:hint="cs"/>
          <w:noProof w:val="0"/>
          <w:rtl/>
        </w:rPr>
        <w:t>בהליך זה</w:t>
      </w:r>
      <w:r w:rsidRPr="00DD37D8">
        <w:rPr>
          <w:rFonts w:ascii="David" w:eastAsia="Calibri" w:hAnsi="David"/>
          <w:noProof w:val="0"/>
          <w:rtl/>
        </w:rPr>
        <w:t xml:space="preserve">, לפיה על עורך ייפוי הכוח למסור פרטים מלאים באשר לנסיבות עריכת ייפוי הכוח עת נציגי האפוטרופוס הכללי מבקשים זאת. </w:t>
      </w:r>
    </w:p>
    <w:p w:rsidR="00DD37D8" w:rsidRPr="00DD37D8" w:rsidRDefault="00DD37D8" w:rsidP="00DD37D8">
      <w:pPr>
        <w:spacing w:after="160" w:line="256" w:lineRule="auto"/>
        <w:ind w:left="720"/>
        <w:contextualSpacing/>
        <w:rPr>
          <w:rFonts w:ascii="David" w:eastAsia="Calibri" w:hAnsi="David"/>
          <w:noProof w:val="0"/>
        </w:rPr>
      </w:pPr>
    </w:p>
    <w:p w:rsid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הדברים יפים ביתר שאת, עת בית המשפט מתרשם כי הדבר </w:t>
      </w:r>
      <w:r w:rsidRPr="006E47A5">
        <w:rPr>
          <w:rFonts w:ascii="David" w:eastAsia="Calibri" w:hAnsi="David"/>
          <w:b/>
          <w:bCs/>
          <w:noProof w:val="0"/>
          <w:rtl/>
        </w:rPr>
        <w:t>עולה בקנה אחד עם טובתה של הממנה</w:t>
      </w:r>
      <w:r w:rsidRPr="00DD37D8">
        <w:rPr>
          <w:rFonts w:ascii="David" w:eastAsia="Calibri" w:hAnsi="David"/>
          <w:noProof w:val="0"/>
          <w:rtl/>
        </w:rPr>
        <w:t>, מפאת מצבה כיום ובנסיבות בהן ילדיה</w:t>
      </w:r>
      <w:r w:rsidR="006E47A5">
        <w:rPr>
          <w:rFonts w:ascii="David" w:eastAsia="Calibri" w:hAnsi="David" w:hint="cs"/>
          <w:noProof w:val="0"/>
          <w:rtl/>
        </w:rPr>
        <w:t xml:space="preserve">, המצויים בסכסוך בעצימות גבוהה שמתנהל לפני בהליכים ענפים, </w:t>
      </w:r>
      <w:r w:rsidRPr="00DD37D8">
        <w:rPr>
          <w:rFonts w:ascii="David" w:eastAsia="Calibri" w:hAnsi="David"/>
          <w:noProof w:val="0"/>
          <w:rtl/>
        </w:rPr>
        <w:t xml:space="preserve">חלוקים אודות תוקפו של ייפוי הכוח שנערך </w:t>
      </w:r>
      <w:r w:rsidR="006E47A5">
        <w:rPr>
          <w:rFonts w:ascii="David" w:eastAsia="Calibri" w:hAnsi="David" w:hint="cs"/>
          <w:noProof w:val="0"/>
          <w:rtl/>
        </w:rPr>
        <w:t xml:space="preserve">לגב' </w:t>
      </w:r>
      <w:r w:rsidR="00775F80">
        <w:rPr>
          <w:rFonts w:ascii="David" w:eastAsia="Calibri" w:hAnsi="David" w:hint="cs"/>
          <w:noProof w:val="0"/>
          <w:rtl/>
        </w:rPr>
        <w:t>ל'</w:t>
      </w:r>
      <w:r w:rsidR="006E47A5">
        <w:rPr>
          <w:rFonts w:ascii="David" w:eastAsia="Calibri" w:hAnsi="David" w:hint="cs"/>
          <w:noProof w:val="0"/>
          <w:rtl/>
        </w:rPr>
        <w:t xml:space="preserve"> </w:t>
      </w:r>
      <w:r w:rsidRPr="00DD37D8">
        <w:rPr>
          <w:rFonts w:ascii="David" w:eastAsia="Calibri" w:hAnsi="David"/>
          <w:noProof w:val="0"/>
          <w:rtl/>
        </w:rPr>
        <w:t>ונסיבות עריכתו; ומקבלים משנה תוקף, עת הטענות שהועלו כנגד ייפוי הכוח המתמשך נסובות סביב טעמים הקשורים בנסיבות עריכת ייפוי הכוח, כגון היעדר כשירות במועד עריכת ייפוי הכוח, וטענה בדבר השפעה בלתי הוגנת (ראו סעיף 32כט(2) לחוק הכשרות המשפטית), העילות עליהן ביססו המבקשים את תביעתם דנן לביטול היכ"מ.</w:t>
      </w:r>
    </w:p>
    <w:p w:rsidR="002A703F" w:rsidRDefault="002A703F" w:rsidP="002A703F">
      <w:pPr>
        <w:pStyle w:val="ae"/>
        <w:rPr>
          <w:rFonts w:ascii="David" w:eastAsia="Calibri" w:hAnsi="David"/>
          <w:noProof w:val="0"/>
          <w:rtl/>
        </w:rPr>
      </w:pPr>
    </w:p>
    <w:p w:rsidR="00DD37D8" w:rsidRDefault="00DD37D8" w:rsidP="002A703F">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בנסיבות אלה דומה כי הטעמים העומדים ביסוד חיסיון עו"ד לקוח מתאיינים</w:t>
      </w:r>
      <w:r w:rsidR="002A703F">
        <w:rPr>
          <w:rFonts w:ascii="David" w:eastAsia="Calibri" w:hAnsi="David" w:hint="cs"/>
          <w:noProof w:val="0"/>
          <w:rtl/>
        </w:rPr>
        <w:t>,</w:t>
      </w:r>
      <w:r w:rsidRPr="00DD37D8">
        <w:rPr>
          <w:rFonts w:ascii="David" w:eastAsia="Calibri" w:hAnsi="David"/>
          <w:noProof w:val="0"/>
          <w:rtl/>
        </w:rPr>
        <w:t xml:space="preserve"> שכן בכובעו </w:t>
      </w:r>
      <w:r w:rsidR="006E47A5">
        <w:rPr>
          <w:rFonts w:ascii="David" w:eastAsia="Calibri" w:hAnsi="David" w:hint="cs"/>
          <w:noProof w:val="0"/>
          <w:rtl/>
        </w:rPr>
        <w:t xml:space="preserve">של עורך יכ"מ </w:t>
      </w:r>
      <w:r w:rsidRPr="00DD37D8">
        <w:rPr>
          <w:rFonts w:ascii="David" w:eastAsia="Calibri" w:hAnsi="David"/>
          <w:noProof w:val="0"/>
          <w:rtl/>
        </w:rPr>
        <w:t>כשומר סף של טובתו והגנה על זכויותיו לעתיד לבוא</w:t>
      </w:r>
      <w:r w:rsidR="002A703F">
        <w:rPr>
          <w:rFonts w:ascii="David" w:eastAsia="Calibri" w:hAnsi="David" w:hint="cs"/>
          <w:noProof w:val="0"/>
          <w:rtl/>
        </w:rPr>
        <w:t xml:space="preserve"> של הממנה</w:t>
      </w:r>
      <w:r w:rsidRPr="00DD37D8">
        <w:rPr>
          <w:rFonts w:ascii="David" w:eastAsia="Calibri" w:hAnsi="David"/>
          <w:noProof w:val="0"/>
          <w:rtl/>
        </w:rPr>
        <w:t xml:space="preserve">, הרי שהוא מחויב </w:t>
      </w:r>
      <w:r w:rsidR="002A703F">
        <w:rPr>
          <w:rFonts w:ascii="David" w:eastAsia="Calibri" w:hAnsi="David" w:hint="cs"/>
          <w:noProof w:val="0"/>
          <w:rtl/>
        </w:rPr>
        <w:t>אפוא</w:t>
      </w:r>
      <w:r w:rsidRPr="00DD37D8">
        <w:rPr>
          <w:rFonts w:ascii="David" w:eastAsia="Calibri" w:hAnsi="David"/>
          <w:noProof w:val="0"/>
          <w:rtl/>
        </w:rPr>
        <w:t xml:space="preserve"> - למסור כל מידע רלוונטי בנוגע לנסיבות עריכת ייפוי הכוח שעשוי לסייע לקביעה אודות הצורך בהפעלתו או לעניין תוקפו במקרה שכופרים בו, כגון במקרה דנן.</w:t>
      </w:r>
    </w:p>
    <w:p w:rsidR="00240764" w:rsidRDefault="00240764" w:rsidP="00240764">
      <w:pPr>
        <w:pStyle w:val="ae"/>
        <w:rPr>
          <w:rFonts w:ascii="David" w:eastAsia="Calibri" w:hAnsi="David"/>
          <w:noProof w:val="0"/>
          <w:rtl/>
        </w:rPr>
      </w:pPr>
    </w:p>
    <w:p w:rsidR="00DD37D8" w:rsidRPr="00DD37D8" w:rsidRDefault="00DD37D8" w:rsidP="00DE1AB5">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לעניין זה </w:t>
      </w:r>
      <w:r w:rsidR="00CA14F1">
        <w:rPr>
          <w:rFonts w:ascii="David" w:eastAsia="Calibri" w:hAnsi="David" w:hint="cs"/>
          <w:noProof w:val="0"/>
          <w:rtl/>
        </w:rPr>
        <w:t xml:space="preserve">אך מתבקש </w:t>
      </w:r>
      <w:r w:rsidRPr="00DD37D8">
        <w:rPr>
          <w:rFonts w:ascii="David" w:eastAsia="Calibri" w:hAnsi="David"/>
          <w:noProof w:val="0"/>
          <w:rtl/>
        </w:rPr>
        <w:t xml:space="preserve">להקיש בין מצב דברים </w:t>
      </w:r>
      <w:r w:rsidR="00DE1AB5">
        <w:rPr>
          <w:rFonts w:ascii="David" w:eastAsia="Calibri" w:hAnsi="David" w:hint="cs"/>
          <w:noProof w:val="0"/>
          <w:rtl/>
        </w:rPr>
        <w:t>זה</w:t>
      </w:r>
      <w:r w:rsidRPr="00DD37D8">
        <w:rPr>
          <w:rFonts w:ascii="David" w:eastAsia="Calibri" w:hAnsi="David"/>
          <w:noProof w:val="0"/>
          <w:rtl/>
        </w:rPr>
        <w:t>, לבין הפסיקה שצמצמה את תחולתו של חיסיון עו"ד-לקוח במישור היחסים שבין היורשים (בינם לבין עצמם) בדיון אודות תקפות צוואה של הוריהם, בפרט כאשר נידונות טענות של השפעה בלתי הוגנת.</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775F80">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ודוק, </w:t>
      </w:r>
      <w:r w:rsidR="00CA14F1">
        <w:rPr>
          <w:rFonts w:ascii="David" w:eastAsia="Calibri" w:hAnsi="David" w:hint="cs"/>
          <w:noProof w:val="0"/>
          <w:rtl/>
        </w:rPr>
        <w:t xml:space="preserve">קשה </w:t>
      </w:r>
      <w:r w:rsidRPr="00DD37D8">
        <w:rPr>
          <w:rFonts w:ascii="David" w:eastAsia="Calibri" w:hAnsi="David"/>
          <w:noProof w:val="0"/>
          <w:rtl/>
        </w:rPr>
        <w:t xml:space="preserve">להשתחרר מהרושם כי התביעה דנן מהווה </w:t>
      </w:r>
      <w:r w:rsidR="00CA14F1" w:rsidRPr="00DD37D8">
        <w:rPr>
          <w:rFonts w:ascii="David" w:eastAsia="Calibri" w:hAnsi="David"/>
          <w:noProof w:val="0"/>
          <w:rtl/>
        </w:rPr>
        <w:t xml:space="preserve">הלכה למעשה </w:t>
      </w:r>
      <w:r w:rsidRPr="00DD37D8">
        <w:rPr>
          <w:rFonts w:ascii="David" w:eastAsia="Calibri" w:hAnsi="David"/>
          <w:noProof w:val="0"/>
          <w:rtl/>
        </w:rPr>
        <w:t xml:space="preserve">מעין "הקדמה" לסכסוך ירושה עתידי בין אחים - ילדיה של הגב' </w:t>
      </w:r>
      <w:r w:rsidR="00775F80">
        <w:rPr>
          <w:rFonts w:ascii="David" w:eastAsia="Calibri" w:hAnsi="David" w:hint="cs"/>
          <w:noProof w:val="0"/>
          <w:rtl/>
        </w:rPr>
        <w:t>ל'</w:t>
      </w:r>
      <w:r w:rsidRPr="00DD37D8">
        <w:rPr>
          <w:rFonts w:ascii="David" w:eastAsia="Calibri" w:hAnsi="David"/>
          <w:noProof w:val="0"/>
          <w:rtl/>
        </w:rPr>
        <w:t>- כיורשיה הפוטנצי</w:t>
      </w:r>
      <w:r w:rsidR="002B08A8">
        <w:rPr>
          <w:rFonts w:ascii="David" w:eastAsia="Calibri" w:hAnsi="David"/>
          <w:noProof w:val="0"/>
          <w:rtl/>
        </w:rPr>
        <w:t>א</w:t>
      </w:r>
      <w:r w:rsidR="00EB09A6">
        <w:rPr>
          <w:rFonts w:ascii="David" w:eastAsia="Calibri" w:hAnsi="David" w:hint="cs"/>
          <w:noProof w:val="0"/>
          <w:rtl/>
        </w:rPr>
        <w:t>לי</w:t>
      </w:r>
      <w:r w:rsidRPr="00DD37D8">
        <w:rPr>
          <w:rFonts w:ascii="David" w:eastAsia="Calibri" w:hAnsi="David"/>
          <w:noProof w:val="0"/>
          <w:rtl/>
        </w:rPr>
        <w:t>ם על פי דין, בנוגע לעיזבון שתותיר אחריה אמם, שתבדל לחיים ארוכים; סכסוך אשר הוקדם למועד זה, בו כופרים חלק מילדיה בתוקפו של ייפוי הכוח המתמשך שניתן על ידי האם לטובת אחיהם - המשיב 3.</w:t>
      </w:r>
    </w:p>
    <w:p w:rsidR="00DD37D8" w:rsidRPr="00DD37D8" w:rsidRDefault="00DD37D8" w:rsidP="00DD37D8">
      <w:pPr>
        <w:spacing w:line="360" w:lineRule="auto"/>
        <w:ind w:left="360"/>
        <w:jc w:val="both"/>
        <w:rPr>
          <w:rFonts w:ascii="David" w:eastAsia="Calibri" w:hAnsi="David"/>
          <w:noProof w:val="0"/>
          <w:rtl/>
        </w:rPr>
      </w:pPr>
    </w:p>
    <w:p w:rsidR="00DD37D8" w:rsidRPr="00DD37D8" w:rsidRDefault="00DD37D8" w:rsidP="00CA14F1">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המבקשים העלו במסגרת ההליכים דנן טענות בדבר נסיבות העברת המשיב 3 (מיופה הכוח) שלוש דירות שהיו רשומות על שם האם - על שמו, כמו גם פעולות שביצע בחשבונות הבנק של האם, וכן </w:t>
      </w:r>
      <w:r w:rsidR="00CA14F1">
        <w:rPr>
          <w:rFonts w:ascii="David" w:eastAsia="Calibri" w:hAnsi="David" w:hint="cs"/>
          <w:noProof w:val="0"/>
          <w:rtl/>
        </w:rPr>
        <w:t xml:space="preserve">טענו כי </w:t>
      </w:r>
      <w:r w:rsidRPr="00DD37D8">
        <w:rPr>
          <w:rFonts w:ascii="David" w:eastAsia="Calibri" w:hAnsi="David"/>
          <w:noProof w:val="0"/>
          <w:rtl/>
        </w:rPr>
        <w:t>החתמתה של האם על ייפוי הכוח המתמשך</w:t>
      </w:r>
      <w:r w:rsidR="00CA14F1">
        <w:rPr>
          <w:rFonts w:ascii="David" w:eastAsia="Calibri" w:hAnsi="David" w:hint="cs"/>
          <w:noProof w:val="0"/>
          <w:rtl/>
        </w:rPr>
        <w:t xml:space="preserve"> נעשה</w:t>
      </w:r>
      <w:r w:rsidRPr="00DD37D8">
        <w:rPr>
          <w:rFonts w:ascii="David" w:eastAsia="Calibri" w:hAnsi="David"/>
          <w:noProof w:val="0"/>
          <w:rtl/>
        </w:rPr>
        <w:t xml:space="preserve"> בנסיבות של השפעה בלתי הוגנת של האם מצד המשיב 3 וניצולו את מצבה (ראו סעיף 57 להחלטתי מיום 16.1.24).</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בנסיבות מעין אלה נקבע בפסיקה ובספרות המשפטית כי </w:t>
      </w:r>
      <w:r w:rsidRPr="00DD37D8">
        <w:rPr>
          <w:rFonts w:ascii="David" w:eastAsia="Calibri" w:hAnsi="David"/>
          <w:b/>
          <w:bCs/>
          <w:noProof w:val="0"/>
          <w:rtl/>
        </w:rPr>
        <w:t>ניתן להקיש ממבחני השפעה בלתי הוגנת בחוק הירושה גם ביחס למצב דברים כגון דא</w:t>
      </w:r>
      <w:r w:rsidRPr="00DD37D8">
        <w:rPr>
          <w:rFonts w:ascii="David" w:eastAsia="Calibri" w:hAnsi="David"/>
          <w:noProof w:val="0"/>
          <w:rtl/>
        </w:rPr>
        <w:t xml:space="preserve"> ובחינת תביעה לביטול ייפוי כוח מתמשך.</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ראו לעניין זה דבריו של כב' השופט יזרע</w:t>
      </w:r>
      <w:r w:rsidR="002B08A8">
        <w:rPr>
          <w:rFonts w:ascii="David" w:eastAsia="Calibri" w:hAnsi="David"/>
          <w:noProof w:val="0"/>
          <w:rtl/>
        </w:rPr>
        <w:t>א</w:t>
      </w:r>
      <w:r w:rsidR="00296D9C">
        <w:rPr>
          <w:rFonts w:ascii="David" w:eastAsia="Calibri" w:hAnsi="David" w:hint="cs"/>
          <w:noProof w:val="0"/>
          <w:rtl/>
        </w:rPr>
        <w:t>לי</w:t>
      </w:r>
      <w:r w:rsidRPr="00DD37D8">
        <w:rPr>
          <w:rFonts w:ascii="David" w:eastAsia="Calibri" w:hAnsi="David"/>
          <w:noProof w:val="0"/>
          <w:rtl/>
        </w:rPr>
        <w:t xml:space="preserve"> בא"פ (פ"ת) 5658-06-20 </w:t>
      </w:r>
      <w:r w:rsidRPr="00DD37D8">
        <w:rPr>
          <w:rFonts w:ascii="David" w:eastAsia="Calibri" w:hAnsi="David"/>
          <w:b/>
          <w:bCs/>
          <w:noProof w:val="0"/>
          <w:rtl/>
        </w:rPr>
        <w:t>פלונית נ' האפוטרופוס הכללי במחוז תל-אביב</w:t>
      </w:r>
      <w:r w:rsidRPr="00DD37D8">
        <w:rPr>
          <w:rFonts w:ascii="David" w:eastAsia="Calibri" w:hAnsi="David"/>
          <w:noProof w:val="0"/>
          <w:rtl/>
        </w:rPr>
        <w:t xml:space="preserve"> (17.11.2022)‏‏ לפיהם: " </w:t>
      </w:r>
      <w:r w:rsidRPr="00DD37D8">
        <w:rPr>
          <w:rFonts w:ascii="David" w:eastAsia="Calibri" w:hAnsi="David"/>
          <w:b/>
          <w:bCs/>
          <w:noProof w:val="0"/>
          <w:rtl/>
        </w:rPr>
        <w:t>מוסד ייפוי הכוח המתמשך הינו מוסד חדש, אשר החקיקה לגביו טרם יושמה בפועל בבתי המשפט. הלכה למעשה כפי שצוואה הינה פעולה בה אדם מחליט כיצד יטפלו ברכושו לאחר שלא יהיה בחיים, הרי שייפויי כוח מתמשך הינה פעולה בה אדם מחליט כיצד יטפלו בענייניו וברכושו – לאחר שלא יהיה כשיר. אשר על כן, סבורני כי ניתן, ואף מתבקש, להקיש בין ההוראות והכללים הנוגעים להשפעה בלתי הוגנת בדיני הירושה – להוראות והכללים הנוגעים להשפעה בלתי הוגנת בדיני הכשרות ובפרט במוסד יפויי הכוח המתמשך</w:t>
      </w:r>
      <w:r w:rsidRPr="00DD37D8">
        <w:rPr>
          <w:rFonts w:ascii="David" w:eastAsia="Calibri" w:hAnsi="David"/>
          <w:noProof w:val="0"/>
          <w:rtl/>
        </w:rPr>
        <w:t>."</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ראו גם דבריו של עו"ד בן דוד בספרו ייפוי כוח מתמשך, לפיהם "</w:t>
      </w:r>
      <w:r w:rsidRPr="00DD37D8">
        <w:rPr>
          <w:rFonts w:ascii="David" w:eastAsia="Calibri" w:hAnsi="David"/>
          <w:b/>
          <w:bCs/>
          <w:noProof w:val="0"/>
          <w:rtl/>
        </w:rPr>
        <w:t>השימוש במטבע הלשון "השפעה בלתי הוגנת" בחוק הירושה והפסיקה הרבה שניתנה בעניינו הפכה אותו לביטוי משפטי מובהק. לפיכך המבחנים להשפעה בלתי הוגנת שנקבעו בפסיקה לגבי ירושה, רלוונטיים למקרה בו תועלה טענה בדבר השפעה בלתי הוגנת בעשיית יכ"מ. משום כך על עורך הדין המתכוון לערוך יכ"מ, לתת את הדעת על מבחנים אלו העשויים לסייע לו לבחון האם הממנה שלפניו עשוי להיות מצוי תחת השפעה בלתי הוגנת של מיופה הכוח המיועד או של אדם אחר</w:t>
      </w:r>
      <w:r w:rsidRPr="00DD37D8">
        <w:rPr>
          <w:rFonts w:ascii="David" w:eastAsia="Calibri" w:hAnsi="David"/>
          <w:noProof w:val="0"/>
          <w:rtl/>
        </w:rPr>
        <w:t>". שם, בעמ' 184.</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717B1C" w:rsidP="00717B1C">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זאת ועוד</w:t>
      </w:r>
      <w:r w:rsidR="00DD37D8" w:rsidRPr="00DD37D8">
        <w:rPr>
          <w:rFonts w:ascii="David" w:eastAsia="Calibri" w:hAnsi="David"/>
          <w:noProof w:val="0"/>
          <w:rtl/>
        </w:rPr>
        <w:t xml:space="preserve">, ניתן לבחון זאת אף בפרספקטיבה של "ניכור לעת זקנה", שהוכר בספרות כתת מקרה של השפעה בלתי הוגנת, </w:t>
      </w:r>
      <w:r w:rsidR="009B63EC">
        <w:rPr>
          <w:rFonts w:ascii="David" w:eastAsia="Calibri" w:hAnsi="David" w:hint="cs"/>
          <w:noProof w:val="0"/>
          <w:rtl/>
        </w:rPr>
        <w:t>ו</w:t>
      </w:r>
      <w:r w:rsidR="00DD37D8" w:rsidRPr="00DD37D8">
        <w:rPr>
          <w:rFonts w:ascii="David" w:eastAsia="Calibri" w:hAnsi="David"/>
          <w:noProof w:val="0"/>
          <w:rtl/>
        </w:rPr>
        <w:t>אף בשים לב "להלכת החוטים השזורים". ראו: ענת ליפשיץ, "</w:t>
      </w:r>
      <w:r w:rsidR="00DD37D8" w:rsidRPr="00DD37D8">
        <w:rPr>
          <w:rFonts w:ascii="David" w:eastAsia="Calibri" w:hAnsi="David"/>
          <w:b/>
          <w:bCs/>
          <w:noProof w:val="0"/>
          <w:rtl/>
        </w:rPr>
        <w:t>ניכור לעת זִקנה כהשפעה בלתי הוגנת בעקבות הלכת החוטים השזורים</w:t>
      </w:r>
      <w:r w:rsidR="00DD37D8" w:rsidRPr="00DD37D8">
        <w:rPr>
          <w:rFonts w:ascii="David" w:eastAsia="Calibri" w:hAnsi="David"/>
          <w:noProof w:val="0"/>
          <w:rtl/>
        </w:rPr>
        <w:t>"</w:t>
      </w:r>
      <w:r w:rsidR="009B63EC">
        <w:rPr>
          <w:rFonts w:ascii="David" w:eastAsia="Calibri" w:hAnsi="David" w:hint="cs"/>
          <w:noProof w:val="0"/>
          <w:rtl/>
        </w:rPr>
        <w:t xml:space="preserve">, הוצאת הארת דין, י"ד (תש"פ) </w:t>
      </w:r>
      <w:r w:rsidR="00DD37D8" w:rsidRPr="00DD37D8">
        <w:rPr>
          <w:rFonts w:ascii="David" w:eastAsia="Calibri" w:hAnsi="David"/>
          <w:noProof w:val="0"/>
          <w:rtl/>
        </w:rPr>
        <w:t>49</w:t>
      </w:r>
      <w:r w:rsidR="009B63EC">
        <w:rPr>
          <w:rFonts w:ascii="David" w:eastAsia="Calibri" w:hAnsi="David" w:hint="cs"/>
          <w:noProof w:val="0"/>
          <w:rtl/>
        </w:rPr>
        <w:t>,</w:t>
      </w:r>
      <w:r w:rsidR="00DD37D8" w:rsidRPr="00DD37D8">
        <w:rPr>
          <w:rFonts w:ascii="David" w:eastAsia="Calibri" w:hAnsi="David"/>
          <w:noProof w:val="0"/>
          <w:rtl/>
        </w:rPr>
        <w:t xml:space="preserve"> 68-69; א"פ 5658-06-20, פסקה 123-124 לפסה"ד; ספרו של בן דוד הנ"ל, בעמ' 184.</w:t>
      </w:r>
    </w:p>
    <w:p w:rsidR="00DD37D8" w:rsidRPr="00DD37D8" w:rsidRDefault="00DD37D8" w:rsidP="00DD37D8">
      <w:pPr>
        <w:spacing w:line="360" w:lineRule="auto"/>
        <w:ind w:left="360"/>
        <w:jc w:val="both"/>
        <w:rPr>
          <w:rFonts w:ascii="David" w:eastAsia="Calibri" w:hAnsi="David"/>
          <w:noProof w:val="0"/>
          <w:rtl/>
        </w:rPr>
      </w:pPr>
    </w:p>
    <w:p w:rsidR="00DD37D8" w:rsidRPr="00DD37D8" w:rsidRDefault="00CA14F1" w:rsidP="00CA14F1">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 xml:space="preserve">לעניין </w:t>
      </w:r>
      <w:r w:rsidR="00F2112D">
        <w:rPr>
          <w:rFonts w:ascii="David" w:eastAsia="Calibri" w:hAnsi="David"/>
          <w:noProof w:val="0"/>
          <w:rtl/>
        </w:rPr>
        <w:t>בחינת תוקפה של צוואה, בין היתר</w:t>
      </w:r>
      <w:r w:rsidR="00DD37D8" w:rsidRPr="00DD37D8">
        <w:rPr>
          <w:rFonts w:ascii="David" w:eastAsia="Calibri" w:hAnsi="David"/>
          <w:noProof w:val="0"/>
          <w:rtl/>
        </w:rPr>
        <w:t xml:space="preserve"> בטענה של השפעה בלתי הוגנת, עמדה הפסיקה על </w:t>
      </w:r>
      <w:r w:rsidR="00DD37D8" w:rsidRPr="00DD37D8">
        <w:rPr>
          <w:rFonts w:ascii="David" w:eastAsia="Calibri" w:hAnsi="David"/>
          <w:b/>
          <w:bCs/>
          <w:noProof w:val="0"/>
          <w:rtl/>
        </w:rPr>
        <w:t>הקושי בהעלאת טענת חסיון עו"ד-לקוח</w:t>
      </w:r>
      <w:r w:rsidR="00DD37D8" w:rsidRPr="00DD37D8">
        <w:rPr>
          <w:rFonts w:ascii="David" w:eastAsia="Calibri" w:hAnsi="David"/>
          <w:noProof w:val="0"/>
          <w:rtl/>
        </w:rPr>
        <w:t xml:space="preserve"> כאשר עסקינן במחלוקת בין יורשים אפשריים, בינם לבין עצמם, ובנסיבות כאלה נטתה הפסיקה </w:t>
      </w:r>
      <w:r w:rsidR="00DD37D8" w:rsidRPr="00DD37D8">
        <w:rPr>
          <w:rFonts w:ascii="David" w:eastAsia="Calibri" w:hAnsi="David"/>
          <w:b/>
          <w:bCs/>
          <w:noProof w:val="0"/>
          <w:rtl/>
        </w:rPr>
        <w:t>לצמצם</w:t>
      </w:r>
      <w:r w:rsidR="00DD37D8" w:rsidRPr="00DD37D8">
        <w:rPr>
          <w:rFonts w:ascii="David" w:eastAsia="Calibri" w:hAnsi="David"/>
          <w:noProof w:val="0"/>
          <w:rtl/>
        </w:rPr>
        <w:t xml:space="preserve"> את תחולתו.</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631AF2">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כב' השופט שוחט </w:t>
      </w:r>
      <w:r w:rsidR="00F2112D">
        <w:rPr>
          <w:rFonts w:ascii="David" w:eastAsia="Calibri" w:hAnsi="David" w:hint="cs"/>
          <w:noProof w:val="0"/>
          <w:rtl/>
        </w:rPr>
        <w:t xml:space="preserve">קבע </w:t>
      </w:r>
      <w:r w:rsidRPr="00DD37D8">
        <w:rPr>
          <w:rFonts w:ascii="David" w:eastAsia="Calibri" w:hAnsi="David"/>
          <w:noProof w:val="0"/>
          <w:rtl/>
        </w:rPr>
        <w:t xml:space="preserve">לעניין זה </w:t>
      </w:r>
      <w:r w:rsidR="00F2112D">
        <w:rPr>
          <w:rFonts w:ascii="David" w:eastAsia="Calibri" w:hAnsi="David" w:hint="cs"/>
          <w:noProof w:val="0"/>
          <w:rtl/>
        </w:rPr>
        <w:t>ב</w:t>
      </w:r>
      <w:r w:rsidRPr="00DD37D8">
        <w:rPr>
          <w:rFonts w:ascii="David" w:eastAsia="Calibri" w:hAnsi="David"/>
          <w:noProof w:val="0"/>
          <w:rtl/>
        </w:rPr>
        <w:t xml:space="preserve">רמ"ש (ת"א) 40045-08-20 </w:t>
      </w:r>
      <w:r w:rsidRPr="00DD37D8">
        <w:rPr>
          <w:rFonts w:ascii="David" w:eastAsia="Calibri" w:hAnsi="David"/>
          <w:b/>
          <w:bCs/>
          <w:noProof w:val="0"/>
          <w:rtl/>
        </w:rPr>
        <w:t>ש.ז.צ נ' י.פ.ר</w:t>
      </w:r>
      <w:r w:rsidRPr="00DD37D8">
        <w:rPr>
          <w:rFonts w:ascii="David" w:eastAsia="Calibri" w:hAnsi="David"/>
          <w:noProof w:val="0"/>
          <w:rtl/>
        </w:rPr>
        <w:t xml:space="preserve"> (30.09.2020)‏‏ כי: "</w:t>
      </w:r>
      <w:r w:rsidRPr="00DD37D8">
        <w:rPr>
          <w:rFonts w:ascii="David" w:eastAsia="Calibri" w:hAnsi="David"/>
          <w:b/>
          <w:bCs/>
          <w:noProof w:val="0"/>
          <w:rtl/>
        </w:rPr>
        <w:t xml:space="preserve">טרם פטירת המנוחה הייתה רשאית היא בלבד לוותר על החיסיון. לאחר פטירתה ולאחר שיוכרזו יורשיה – אין חולק כי הזכות לויתור על החיסיון תהא נתונה להם כשככל שתתקיים מחלוקת ביניהם בעניין זה, בהליך המתנהל בינם לבין עצמם, </w:t>
      </w:r>
      <w:r w:rsidRPr="00CA14F1">
        <w:rPr>
          <w:rFonts w:ascii="David" w:eastAsia="Calibri" w:hAnsi="David"/>
          <w:b/>
          <w:bCs/>
          <w:noProof w:val="0"/>
          <w:u w:val="single"/>
          <w:rtl/>
        </w:rPr>
        <w:t>לא יחול החיסיון</w:t>
      </w:r>
      <w:r w:rsidRPr="00DD37D8">
        <w:rPr>
          <w:rFonts w:ascii="David" w:eastAsia="Calibri" w:hAnsi="David"/>
          <w:b/>
          <w:bCs/>
          <w:noProof w:val="0"/>
          <w:rtl/>
        </w:rPr>
        <w:t>"</w:t>
      </w:r>
      <w:r w:rsidR="00CA14F1">
        <w:rPr>
          <w:rFonts w:ascii="David" w:eastAsia="Calibri" w:hAnsi="David" w:hint="cs"/>
          <w:b/>
          <w:bCs/>
          <w:noProof w:val="0"/>
          <w:rtl/>
        </w:rPr>
        <w:t xml:space="preserve"> </w:t>
      </w:r>
      <w:r w:rsidR="00CA14F1" w:rsidRPr="00CA14F1">
        <w:rPr>
          <w:rFonts w:ascii="David" w:eastAsia="Calibri" w:hAnsi="David" w:hint="cs"/>
          <w:noProof w:val="0"/>
          <w:rtl/>
        </w:rPr>
        <w:t>(ה</w:t>
      </w:r>
      <w:r w:rsidR="00631AF2">
        <w:rPr>
          <w:rFonts w:ascii="David" w:eastAsia="Calibri" w:hAnsi="David" w:hint="cs"/>
          <w:noProof w:val="0"/>
          <w:rtl/>
        </w:rPr>
        <w:t>ה</w:t>
      </w:r>
      <w:r w:rsidR="00CA14F1" w:rsidRPr="00CA14F1">
        <w:rPr>
          <w:rFonts w:ascii="David" w:eastAsia="Calibri" w:hAnsi="David" w:hint="cs"/>
          <w:noProof w:val="0"/>
          <w:rtl/>
        </w:rPr>
        <w:t xml:space="preserve">דגשה </w:t>
      </w:r>
      <w:r w:rsidR="00631AF2">
        <w:rPr>
          <w:rFonts w:ascii="David" w:eastAsia="Calibri" w:hAnsi="David" w:hint="cs"/>
          <w:noProof w:val="0"/>
          <w:rtl/>
        </w:rPr>
        <w:t>אינה במקור</w:t>
      </w:r>
      <w:r w:rsidR="00CA14F1" w:rsidRPr="00CA14F1">
        <w:rPr>
          <w:rFonts w:ascii="David" w:eastAsia="Calibri" w:hAnsi="David" w:hint="cs"/>
          <w:noProof w:val="0"/>
          <w:rtl/>
        </w:rPr>
        <w:t>- ה.ג.)</w:t>
      </w:r>
      <w:r w:rsidRPr="00CA14F1">
        <w:rPr>
          <w:rFonts w:ascii="David" w:eastAsia="Calibri" w:hAnsi="David"/>
          <w:noProof w:val="0"/>
          <w:rtl/>
        </w:rPr>
        <w:t>.</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264759">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 הטעם לכך הובהר בפסק דינה של כב' השופטת (בדימוס) נילי מימון, בת"ע (י-ם) 43032/00 </w:t>
      </w:r>
      <w:r w:rsidRPr="00DD37D8">
        <w:rPr>
          <w:rFonts w:ascii="David" w:eastAsia="Calibri" w:hAnsi="David"/>
          <w:b/>
          <w:bCs/>
          <w:noProof w:val="0"/>
          <w:rtl/>
        </w:rPr>
        <w:t>עזבון המנוח א. פ. ז"ל נ' מ. פ</w:t>
      </w:r>
      <w:r w:rsidRPr="00DD37D8">
        <w:rPr>
          <w:rFonts w:ascii="David" w:eastAsia="Calibri" w:hAnsi="David"/>
          <w:noProof w:val="0"/>
          <w:rtl/>
        </w:rPr>
        <w:t xml:space="preserve"> (10.01.2008)‏, אשר הבהירה </w:t>
      </w:r>
      <w:r w:rsidRPr="00264759">
        <w:rPr>
          <w:rFonts w:ascii="David" w:eastAsia="Calibri" w:hAnsi="David"/>
          <w:noProof w:val="0"/>
          <w:rtl/>
        </w:rPr>
        <w:t>כי לאחר פטירת המצווה, נחלשת עוצמת החיסיון,</w:t>
      </w:r>
      <w:r w:rsidRPr="00DD37D8">
        <w:rPr>
          <w:rFonts w:ascii="David" w:eastAsia="Calibri" w:hAnsi="David"/>
          <w:noProof w:val="0"/>
          <w:rtl/>
        </w:rPr>
        <w:t xml:space="preserve"> ובמחלוקת בין היורשים בינם לבין עצמם הוא ייבחן </w:t>
      </w:r>
      <w:r w:rsidRPr="00717B1C">
        <w:rPr>
          <w:rFonts w:ascii="David" w:eastAsia="Calibri" w:hAnsi="David"/>
          <w:b/>
          <w:bCs/>
          <w:noProof w:val="0"/>
          <w:rtl/>
        </w:rPr>
        <w:t>כחיסיון יחסי</w:t>
      </w:r>
      <w:r w:rsidRPr="00DD37D8">
        <w:rPr>
          <w:rFonts w:ascii="David" w:eastAsia="Calibri" w:hAnsi="David"/>
          <w:noProof w:val="0"/>
          <w:rtl/>
        </w:rPr>
        <w:t>, ולא מוחלט:</w:t>
      </w:r>
    </w:p>
    <w:p w:rsidR="00DD37D8" w:rsidRPr="00DD37D8" w:rsidRDefault="00DD37D8" w:rsidP="00264759">
      <w:pPr>
        <w:spacing w:line="360" w:lineRule="auto"/>
        <w:ind w:left="720"/>
        <w:contextualSpacing/>
        <w:jc w:val="both"/>
        <w:rPr>
          <w:rFonts w:ascii="David" w:eastAsia="Calibri" w:hAnsi="David"/>
          <w:noProof w:val="0"/>
        </w:rPr>
      </w:pPr>
      <w:r w:rsidRPr="00DD37D8">
        <w:rPr>
          <w:rFonts w:ascii="David" w:eastAsia="Calibri" w:hAnsi="David"/>
          <w:noProof w:val="0"/>
          <w:rtl/>
        </w:rPr>
        <w:t>"</w:t>
      </w:r>
      <w:r w:rsidRPr="00DD37D8">
        <w:rPr>
          <w:rFonts w:ascii="David" w:eastAsia="Calibri" w:hAnsi="David"/>
          <w:b/>
          <w:bCs/>
          <w:noProof w:val="0"/>
          <w:rtl/>
        </w:rPr>
        <w:t xml:space="preserve">הגישה לפיה חסיון עו"ד-לקוח אינו פג עם מותו של הלקוח טומנת בחובה קושי רב. כך, למשל, אם בשעת בירור מחלוקת בדבר זכאות לירושה מתעורר הצורך להסיר חיסיון כדי לברר מיהו היורש, לא ברור מי מהצדדים רשאי לטעון לחסיון. כן, במקרים כגון הנדון דנן, שעניינם מחלוקת בין יורשים שונים אשר חלקם טוענים לקיומו של חיסיון וחלקם חפצים לוותר עליו. לעניין אחרון זה נאמר בפסק הדין תום נ' תום כי : "לא יימנע עורך הדין מחשיפת המסמכים שקיבל מהמוכרים והדברים ששמע מפיו מפני יורשיו, כי שלהם המה, וזאת גם אם מי מהיורשים מתנגד לכך", ת"א 1088/87 תום נ' תם בעמ' 761 . עם זאת נראה כי זכות החסיון העוברת ליורשי המנוח </w:t>
      </w:r>
      <w:r w:rsidRPr="00DD37D8">
        <w:rPr>
          <w:rFonts w:ascii="David" w:eastAsia="Calibri" w:hAnsi="David"/>
          <w:b/>
          <w:bCs/>
          <w:noProof w:val="0"/>
          <w:u w:val="single"/>
          <w:rtl/>
        </w:rPr>
        <w:t>פחותה בעוצמתה</w:t>
      </w:r>
      <w:r w:rsidRPr="00DD37D8">
        <w:rPr>
          <w:rFonts w:ascii="David" w:eastAsia="Calibri" w:hAnsi="David"/>
          <w:b/>
          <w:bCs/>
          <w:noProof w:val="0"/>
          <w:rtl/>
        </w:rPr>
        <w:t xml:space="preserve"> מכפי שהיתה בחיי המנוח – הלקוח בחייו. בחיי הלקוח היתה נתונה זכות זו אך ורק להחלטתו. לאחר פטירת הלקוח מקבלים אינטרסים קיימים עוצמה ומשנה תוקף העומדים מנגד לאינטרס ההגנה על </w:t>
      </w:r>
      <w:r w:rsidR="000453A1" w:rsidRPr="00DD37D8">
        <w:rPr>
          <w:rFonts w:ascii="David" w:eastAsia="Calibri" w:hAnsi="David" w:hint="cs"/>
          <w:b/>
          <w:bCs/>
          <w:noProof w:val="0"/>
          <w:rtl/>
        </w:rPr>
        <w:t>החיסיו</w:t>
      </w:r>
      <w:r w:rsidR="000453A1" w:rsidRPr="00DD37D8">
        <w:rPr>
          <w:rFonts w:ascii="David" w:eastAsia="Calibri" w:hAnsi="David" w:hint="eastAsia"/>
          <w:b/>
          <w:bCs/>
          <w:noProof w:val="0"/>
          <w:rtl/>
        </w:rPr>
        <w:t>ן</w:t>
      </w:r>
      <w:r w:rsidRPr="00DD37D8">
        <w:rPr>
          <w:rFonts w:ascii="David" w:eastAsia="Calibri" w:hAnsi="David"/>
          <w:b/>
          <w:bCs/>
          <w:noProof w:val="0"/>
          <w:rtl/>
        </w:rPr>
        <w:t xml:space="preserve">, כמו אינטרס גילוי האמת, הזכות למשפט צדק ולקיום הליך משפטי הוגן. ... ככלל כאשר עולה מהנסיבות שלמנוח היה חשוב שמידע שהוחלף בינו לבין עורך דינו ישמר חסוי אף לאחר מותו – יש לכבד רצון זה מתוך רצון לשמור על כבוד המת ופרטיותו. מנגד, אם ממכלול הנסיבות נראה כי אין טעם מיוחד ולא היה גילוי רצון מצד המנוח שמידע כאמור ימשיך להיות חסוי, הרי שהאינטרס של גילוי האמת וניהול משפט הוגן יש שיגברו על זכות החסיון. בית המשפט יכריע בסוגיה זו על דרך של איזון בין זכויותיהם הבסיסיות של הצדדים- הזכות לפרטיות, אשר חיסיון עו"ד- לקוח הוא אחד מביטוייה, למול הזכות למשפט צדק ולקיום הליך משפטי הוגן והערך של גילוי האמת ...... לכך יווסף כי </w:t>
      </w:r>
      <w:r w:rsidRPr="00264759">
        <w:rPr>
          <w:rFonts w:ascii="David" w:eastAsia="Calibri" w:hAnsi="David"/>
          <w:b/>
          <w:bCs/>
          <w:noProof w:val="0"/>
          <w:rtl/>
        </w:rPr>
        <w:t>קיימת מחלוקת בין היורשים,</w:t>
      </w:r>
      <w:r w:rsidR="00264759">
        <w:rPr>
          <w:rFonts w:ascii="David" w:eastAsia="Calibri" w:hAnsi="David" w:hint="cs"/>
          <w:b/>
          <w:bCs/>
          <w:noProof w:val="0"/>
          <w:rtl/>
        </w:rPr>
        <w:t xml:space="preserve"> </w:t>
      </w:r>
      <w:r w:rsidRPr="00264759">
        <w:rPr>
          <w:rFonts w:ascii="David" w:eastAsia="Calibri" w:hAnsi="David"/>
          <w:b/>
          <w:bCs/>
          <w:noProof w:val="0"/>
          <w:rtl/>
        </w:rPr>
        <w:t>התובעים מבקשים לשמור על החסיון כלומר על מידע בדבר עסקאות שעשה המנוח בהן טיפל עורך דינו ואילו הנתבע מבקש להסיר החסיון על מנת שיוכל לנהל את ההליך המשפטי במלוא היכולת, כאשר כל המידע ייפרש בפני בית המשפט</w:t>
      </w:r>
      <w:r w:rsidRPr="00DD37D8">
        <w:rPr>
          <w:rFonts w:ascii="David" w:eastAsia="Calibri" w:hAnsi="David"/>
          <w:b/>
          <w:bCs/>
          <w:noProof w:val="0"/>
          <w:u w:val="single"/>
          <w:rtl/>
        </w:rPr>
        <w:t xml:space="preserve">. אף מחלוקת זו בין היורשים מחלישה את עוצמת החסיון שנותרה לאחר פטירת הלקוח ונראה שהרצון לשמור על החסיון איננו נובע בשלב זה מהרצון להגן על האינטרס או פרטיותו של המנוח, כי אם להגן על האינטרס של היורשים המתנגדים להסרת החסיון בסכסוך שבינם לבין </w:t>
      </w:r>
      <w:r w:rsidRPr="00DD37D8">
        <w:rPr>
          <w:rFonts w:ascii="David" w:eastAsia="Calibri" w:hAnsi="David"/>
          <w:b/>
          <w:bCs/>
          <w:noProof w:val="0"/>
          <w:u w:val="single"/>
          <w:rtl/>
        </w:rPr>
        <w:lastRenderedPageBreak/>
        <w:t>היורש האחר</w:t>
      </w:r>
      <w:r w:rsidRPr="00DD37D8">
        <w:rPr>
          <w:rFonts w:ascii="David" w:eastAsia="Calibri" w:hAnsi="David"/>
          <w:b/>
          <w:bCs/>
          <w:noProof w:val="0"/>
          <w:rtl/>
        </w:rPr>
        <w:t xml:space="preserve">.  </w:t>
      </w:r>
      <w:r w:rsidRPr="00DD37D8">
        <w:rPr>
          <w:rFonts w:ascii="David" w:eastAsia="Calibri" w:hAnsi="David"/>
          <w:b/>
          <w:bCs/>
          <w:noProof w:val="0"/>
          <w:u w:val="single"/>
          <w:rtl/>
        </w:rPr>
        <w:t>נוכח מכלול האמור נראה כי חסיון עו"ד- לקוח לאחר פטירת הלקוח הינו חסיון יחסי ולא מוחלט כבחיי המנוח. כאמור, המנוח איננו נושא חובות וזכויות, השארת החסיון מושתתת על שיקולים לבר משפטיים משכך עוצמת החסיון נחלשת ובנסיבות אלה ניתן לבחון את האינטרסים העומדים מאחורי החסיון והנסיבות האופפות אותם, זאת מול האינטרסים הנוגדים.</w:t>
      </w:r>
      <w:r w:rsidRPr="00DD37D8">
        <w:rPr>
          <w:rFonts w:ascii="David" w:eastAsia="Calibri" w:hAnsi="David"/>
          <w:noProof w:val="0"/>
          <w:rtl/>
        </w:rPr>
        <w:t xml:space="preserve"> ...</w:t>
      </w:r>
      <w:r w:rsidRPr="00DD37D8">
        <w:rPr>
          <w:rFonts w:ascii="David" w:eastAsia="Calibri" w:hAnsi="David"/>
          <w:noProof w:val="0"/>
        </w:rPr>
        <w:t>."</w:t>
      </w:r>
      <w:r w:rsidRPr="00DD37D8">
        <w:rPr>
          <w:rFonts w:ascii="David" w:eastAsia="Calibri" w:hAnsi="David"/>
          <w:noProof w:val="0"/>
          <w:rtl/>
        </w:rPr>
        <w:t xml:space="preserve"> </w:t>
      </w:r>
      <w:r w:rsidR="00264759">
        <w:rPr>
          <w:rFonts w:ascii="David" w:eastAsia="Calibri" w:hAnsi="David" w:hint="cs"/>
          <w:noProof w:val="0"/>
          <w:rtl/>
        </w:rPr>
        <w:t>(</w:t>
      </w:r>
      <w:r w:rsidRPr="00DD37D8">
        <w:rPr>
          <w:rFonts w:ascii="David" w:eastAsia="Calibri" w:hAnsi="David"/>
          <w:noProof w:val="0"/>
          <w:rtl/>
        </w:rPr>
        <w:t>ההדגשות אינן במקור – ה.ג.).</w:t>
      </w:r>
    </w:p>
    <w:p w:rsidR="00DD37D8" w:rsidRPr="00DD37D8" w:rsidRDefault="00DD37D8" w:rsidP="00DD37D8">
      <w:pPr>
        <w:spacing w:line="360" w:lineRule="auto"/>
        <w:ind w:left="720"/>
        <w:contextualSpacing/>
        <w:jc w:val="both"/>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 xml:space="preserve">כב' השופטת גאולה לוין נדרשה אף היא להיקף התחולה של חיסיון עו"ד-לקוח במחלוקת שנתגלעה בין היורשים במקרה של התדיינות על תוקפה של צוואה נוכח טענה בדבר השפעה בלתי הוגנת, ועמדה על כך שבייחוד במצב דברים מעין זה </w:t>
      </w:r>
      <w:r w:rsidRPr="00DD37D8">
        <w:rPr>
          <w:rFonts w:ascii="David" w:eastAsia="Calibri" w:hAnsi="David"/>
          <w:b/>
          <w:bCs/>
          <w:noProof w:val="0"/>
          <w:rtl/>
        </w:rPr>
        <w:t>גוברים הטעמים של גילוי וחקר האמת</w:t>
      </w:r>
      <w:r w:rsidRPr="00DD37D8">
        <w:rPr>
          <w:rFonts w:ascii="David" w:eastAsia="Calibri" w:hAnsi="David"/>
          <w:noProof w:val="0"/>
          <w:rtl/>
        </w:rPr>
        <w:t xml:space="preserve">, באופן שגורע מתוקפו של חיסיון עו"ד-לקוח, כחיסיון מוחלט, ומביא לכך שייבחן </w:t>
      </w:r>
      <w:r w:rsidRPr="00264759">
        <w:rPr>
          <w:rFonts w:ascii="David" w:eastAsia="Calibri" w:hAnsi="David"/>
          <w:b/>
          <w:bCs/>
          <w:noProof w:val="0"/>
          <w:rtl/>
        </w:rPr>
        <w:t>כחיסיון יחסי</w:t>
      </w:r>
      <w:r w:rsidRPr="00DD37D8">
        <w:rPr>
          <w:rFonts w:ascii="David" w:eastAsia="Calibri" w:hAnsi="David"/>
          <w:noProof w:val="0"/>
          <w:rtl/>
        </w:rPr>
        <w:t xml:space="preserve">, אל מול יתר האינטרסים העומדים על הפרק, כדבריה: </w:t>
      </w:r>
    </w:p>
    <w:p w:rsidR="00DD37D8" w:rsidRPr="00DD37D8" w:rsidRDefault="00DD37D8" w:rsidP="00631AF2">
      <w:pPr>
        <w:spacing w:line="360" w:lineRule="auto"/>
        <w:ind w:left="720"/>
        <w:contextualSpacing/>
        <w:jc w:val="both"/>
        <w:rPr>
          <w:rFonts w:ascii="David" w:eastAsia="Calibri" w:hAnsi="David"/>
          <w:noProof w:val="0"/>
        </w:rPr>
      </w:pPr>
      <w:r w:rsidRPr="00DD37D8">
        <w:rPr>
          <w:rFonts w:ascii="David" w:eastAsia="Calibri" w:hAnsi="David"/>
          <w:b/>
          <w:bCs/>
          <w:noProof w:val="0"/>
          <w:rtl/>
        </w:rPr>
        <w:t>"כאשר עסקינן בהליך של בקשה לקיום צוואה, קשה לבסס קביעה בדבר חסיון המידע והמסמכים שקיימים אצל עורך הדין על כך שהמצווה, בחייו, ביקש לשמור בחשאיות את עצם עריכתה של צוואה. הגשת הבקשה, יחד עם הצוואה, לרשם לענייני ירושה ולבית המשפט, היא כשלעצמה, חושפת את הדבר אותו ביקש המצווה לשמור חסוי בחייו. הדעת נותנת כי הוא לא ביקש לשמור את דבר הצוואה חסוי לאחר מותו, שהרי אז לא תהיה לצוואה כל נפקות...</w:t>
      </w:r>
      <w:r w:rsidRPr="00DD37D8">
        <w:rPr>
          <w:rFonts w:ascii="Calibri" w:eastAsia="Calibri" w:hAnsi="Calibri" w:cs="Arial"/>
          <w:noProof w:val="0"/>
          <w:sz w:val="22"/>
          <w:szCs w:val="22"/>
          <w:rtl/>
        </w:rPr>
        <w:t xml:space="preserve"> </w:t>
      </w:r>
      <w:r w:rsidRPr="00DD37D8">
        <w:rPr>
          <w:rFonts w:ascii="David" w:eastAsia="Calibri" w:hAnsi="David"/>
          <w:b/>
          <w:bCs/>
          <w:noProof w:val="0"/>
          <w:rtl/>
        </w:rPr>
        <w:t>נמצא כי עריכת צוואה, גם אם בחייו של המצווה מצויה תחת חסיון עו"ד-לקוח, אינה חוסה תחת החיסיון לאחר פטירת המנוח...</w:t>
      </w:r>
      <w:r w:rsidRPr="00DD37D8">
        <w:rPr>
          <w:rFonts w:ascii="Calibri" w:eastAsia="Calibri" w:hAnsi="Calibri" w:cs="Arial" w:hint="cs"/>
          <w:noProof w:val="0"/>
          <w:sz w:val="22"/>
          <w:szCs w:val="22"/>
        </w:rPr>
        <w:t xml:space="preserve"> </w:t>
      </w:r>
      <w:r w:rsidRPr="00DD37D8">
        <w:rPr>
          <w:rFonts w:ascii="David" w:eastAsia="Calibri" w:hAnsi="David"/>
          <w:b/>
          <w:bCs/>
          <w:noProof w:val="0"/>
          <w:rtl/>
        </w:rPr>
        <w:t>זאת ועוד</w:t>
      </w:r>
      <w:r w:rsidR="00631AF2">
        <w:rPr>
          <w:rFonts w:ascii="David" w:eastAsia="Calibri" w:hAnsi="David" w:hint="cs"/>
          <w:b/>
          <w:bCs/>
          <w:noProof w:val="0"/>
          <w:rtl/>
        </w:rPr>
        <w:t>.</w:t>
      </w:r>
      <w:r w:rsidRPr="00DD37D8">
        <w:rPr>
          <w:rFonts w:ascii="David" w:eastAsia="Calibri" w:hAnsi="David"/>
          <w:b/>
          <w:bCs/>
          <w:noProof w:val="0"/>
          <w:rtl/>
        </w:rPr>
        <w:t xml:space="preserve"> מסמך הצוואה אינו עומד כשלעצמו. כאשר מועלות טענות כנגד תוקפה המהותי של הצוואה, מחויב בית המשפט לבחון ולהכריע בטענות אלה, ובכלל זה טענה בדבר השפעה בלתי הוגנת, המביאה לבטלות הצוואה. חוק הירושה אינו מורה כי כל צוואה העומדת בדרישות הצורניות תקוים, אלא במקרים מסוימים מורה על בדיקה מהותית.   במצב דברים זה, על בית המשפט לבחון את מכלול הנסיבות של עריכת הצוואה והטעמים לעשייתה. על בית המשפט לבחון כל ראיה שעשויה לשפוך אור, ולו באופן עקיף, על הלך רוחו ואומד דעתו של המצווה בעת עריכת הצוואה. עליו לברר האם הצוואה משקפת את רצון המצווה או את רצונו של הזולת. בחינה זו מעוררת קשיים ראייתיים מיוחדים, מעבר לקושי הרגיל שטמון בכל ניסיון לגלות את האמת...בית המשפט - המצווה בכבודו של המת - מצווה בראש וראשונה לברר האם הצוואה משקפת את "רצונו הנחזה" או את "רצונו החופשי" של המצווה. כדי לברר זאת, אין מנוס מהיזקקות לראיות שנוגעות לעניינים הפרטיים והאינטימיים ביותר של המצווה, ובכלל זה מצבו הגופני והנפשי, תלותו בזולת, מערכת יחסיו עם הסובבים אותו ועם עורך הצוואה ונסיבות עריכת הצוואה. דומה כי בהליך הנסב על תוקפה של צוואה, האינטרס שבכיבוד רצונו של המת מתוך שמירת כבוד המת, גובר על אינטרסים אחרים, ובהם שמירת הפרטיות של המנוח ושמירה על חסיונות שעמדו לו בחייו ובכללם חסיון עו"ד-לקוח. </w:t>
      </w:r>
      <w:r w:rsidRPr="00631AF2">
        <w:rPr>
          <w:rFonts w:ascii="David" w:eastAsia="Calibri" w:hAnsi="David"/>
          <w:b/>
          <w:bCs/>
          <w:noProof w:val="0"/>
          <w:u w:val="single"/>
          <w:rtl/>
        </w:rPr>
        <w:t>אינטרסים אלה נסוגים מפני אינטרס העל של התחקות אחר רצונו האמיתי והחופשי של המצווה, והכל מתוך מחויבות לכבודו.</w:t>
      </w:r>
      <w:r w:rsidRPr="00DD37D8">
        <w:rPr>
          <w:rFonts w:ascii="David" w:eastAsia="Calibri" w:hAnsi="David"/>
          <w:b/>
          <w:bCs/>
          <w:noProof w:val="0"/>
          <w:rtl/>
        </w:rPr>
        <w:t xml:space="preserve"> נמצא כי בהליכי קיום צוואה והתנגדות, גילוי המידע </w:t>
      </w:r>
      <w:r w:rsidRPr="00DD37D8">
        <w:rPr>
          <w:rFonts w:ascii="David" w:eastAsia="Calibri" w:hAnsi="David"/>
          <w:b/>
          <w:bCs/>
          <w:noProof w:val="0"/>
          <w:rtl/>
        </w:rPr>
        <w:lastRenderedPageBreak/>
        <w:t xml:space="preserve">לא רק שהוא משרת את הערך החברתי הכללי של גילוי האמת ועשיית משפט צדק, אלא שהוא מתחייב מהתכלית העומדת ביסוד הליכי קיום צוואה.   </w:t>
      </w:r>
      <w:r w:rsidRPr="00DD37D8">
        <w:rPr>
          <w:rFonts w:ascii="David" w:eastAsia="Calibri" w:hAnsi="David"/>
          <w:b/>
          <w:bCs/>
          <w:noProof w:val="0"/>
          <w:u w:val="single"/>
          <w:rtl/>
        </w:rPr>
        <w:t>המסקנה היא כי אין מקום לקביעה גורפת כי המידע והמסמכים שבידי עורך הדין שטיפל בהכנת הצוואה חוסים תחת חיסיון עו"ד-לקוח ואין לגלותם</w:t>
      </w:r>
      <w:r w:rsidRPr="00DD37D8">
        <w:rPr>
          <w:rFonts w:ascii="David" w:eastAsia="Calibri" w:hAnsi="David"/>
          <w:b/>
          <w:bCs/>
          <w:noProof w:val="0"/>
          <w:rtl/>
        </w:rPr>
        <w:t xml:space="preserve"> מאחר שהמנוח, בחייו, לא ויתר על החיסיון. בקשה לחיוב עו"ד למסור עדות ולהמציא מסמכים תוכרע על פי הרלוונטיות של העדות והמסמכים לשאלות השנויות במחלוקת, והכל על פי דיני הראיות הכלליים</w:t>
      </w:r>
      <w:r w:rsidRPr="00DD37D8">
        <w:rPr>
          <w:rFonts w:ascii="David" w:eastAsia="Calibri" w:hAnsi="David"/>
          <w:b/>
          <w:bCs/>
          <w:noProof w:val="0"/>
        </w:rPr>
        <w:t>."</w:t>
      </w:r>
      <w:r w:rsidRPr="00DD37D8">
        <w:rPr>
          <w:rFonts w:ascii="David" w:eastAsia="Calibri" w:hAnsi="David"/>
          <w:b/>
          <w:bCs/>
          <w:noProof w:val="0"/>
          <w:rtl/>
        </w:rPr>
        <w:t xml:space="preserve"> </w:t>
      </w:r>
      <w:r w:rsidRPr="00DD37D8">
        <w:rPr>
          <w:rFonts w:ascii="David" w:eastAsia="Calibri" w:hAnsi="David"/>
          <w:noProof w:val="0"/>
          <w:rtl/>
        </w:rPr>
        <w:t>ראו:</w:t>
      </w:r>
      <w:r w:rsidRPr="00DD37D8">
        <w:rPr>
          <w:rFonts w:ascii="David" w:eastAsia="Calibri" w:hAnsi="David"/>
          <w:b/>
          <w:bCs/>
          <w:noProof w:val="0"/>
          <w:rtl/>
        </w:rPr>
        <w:t xml:space="preserve"> </w:t>
      </w:r>
      <w:r w:rsidRPr="00DD37D8">
        <w:rPr>
          <w:rFonts w:ascii="David" w:eastAsia="Calibri" w:hAnsi="David"/>
          <w:noProof w:val="0"/>
          <w:rtl/>
        </w:rPr>
        <w:t>רמ"ש (ב"ש) 42302-10-15</w:t>
      </w:r>
      <w:r w:rsidRPr="00DD37D8">
        <w:rPr>
          <w:rFonts w:ascii="David" w:eastAsia="Calibri" w:hAnsi="David"/>
          <w:b/>
          <w:bCs/>
          <w:noProof w:val="0"/>
          <w:rtl/>
        </w:rPr>
        <w:t xml:space="preserve"> א.צ נ' י.צ </w:t>
      </w:r>
      <w:r w:rsidRPr="00DD37D8">
        <w:rPr>
          <w:rFonts w:ascii="David" w:eastAsia="Calibri" w:hAnsi="David"/>
          <w:noProof w:val="0"/>
          <w:rtl/>
        </w:rPr>
        <w:t>(27.01.2016)‏‏ (ההדגש</w:t>
      </w:r>
      <w:r w:rsidR="00631AF2">
        <w:rPr>
          <w:rFonts w:ascii="David" w:eastAsia="Calibri" w:hAnsi="David" w:hint="cs"/>
          <w:noProof w:val="0"/>
          <w:rtl/>
        </w:rPr>
        <w:t>ות</w:t>
      </w:r>
      <w:r w:rsidRPr="00DD37D8">
        <w:rPr>
          <w:rFonts w:ascii="David" w:eastAsia="Calibri" w:hAnsi="David"/>
          <w:noProof w:val="0"/>
          <w:rtl/>
        </w:rPr>
        <w:t xml:space="preserve"> </w:t>
      </w:r>
      <w:r w:rsidR="00631AF2">
        <w:rPr>
          <w:rFonts w:ascii="David" w:eastAsia="Calibri" w:hAnsi="David" w:hint="cs"/>
          <w:noProof w:val="0"/>
          <w:rtl/>
        </w:rPr>
        <w:t>אינן במקור</w:t>
      </w:r>
      <w:r w:rsidRPr="00DD37D8">
        <w:rPr>
          <w:rFonts w:ascii="David" w:eastAsia="Calibri" w:hAnsi="David"/>
          <w:noProof w:val="0"/>
          <w:rtl/>
        </w:rPr>
        <w:t>– ה.ג.).</w:t>
      </w:r>
    </w:p>
    <w:p w:rsidR="00DD37D8" w:rsidRPr="00631AF2" w:rsidRDefault="00DD37D8" w:rsidP="00DD37D8">
      <w:pPr>
        <w:spacing w:line="360" w:lineRule="auto"/>
        <w:jc w:val="both"/>
        <w:rPr>
          <w:rFonts w:ascii="David" w:eastAsia="Calibri" w:hAnsi="David"/>
          <w:noProof w:val="0"/>
          <w:rtl/>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עקרון העל בחוק הכשרות</w:t>
      </w:r>
      <w:r w:rsidR="00631AF2">
        <w:rPr>
          <w:rFonts w:ascii="David" w:eastAsia="Calibri" w:hAnsi="David" w:hint="cs"/>
          <w:noProof w:val="0"/>
          <w:rtl/>
        </w:rPr>
        <w:t>,</w:t>
      </w:r>
      <w:r w:rsidRPr="00DD37D8">
        <w:rPr>
          <w:rFonts w:ascii="David" w:eastAsia="Calibri" w:hAnsi="David"/>
          <w:noProof w:val="0"/>
          <w:rtl/>
        </w:rPr>
        <w:t xml:space="preserve"> כידוע</w:t>
      </w:r>
      <w:r w:rsidR="00631AF2">
        <w:rPr>
          <w:rFonts w:ascii="David" w:eastAsia="Calibri" w:hAnsi="David" w:hint="cs"/>
          <w:noProof w:val="0"/>
          <w:rtl/>
        </w:rPr>
        <w:t>,</w:t>
      </w:r>
      <w:r w:rsidRPr="00DD37D8">
        <w:rPr>
          <w:rFonts w:ascii="David" w:eastAsia="Calibri" w:hAnsi="David"/>
          <w:noProof w:val="0"/>
          <w:rtl/>
        </w:rPr>
        <w:t xml:space="preserve"> הוא "</w:t>
      </w:r>
      <w:r w:rsidRPr="00DD37D8">
        <w:rPr>
          <w:rFonts w:ascii="David" w:eastAsia="Calibri" w:hAnsi="David"/>
          <w:b/>
          <w:bCs/>
          <w:noProof w:val="0"/>
          <w:rtl/>
        </w:rPr>
        <w:t>עקרון טובת האדם שמונה לו אפוטרופוס</w:t>
      </w:r>
      <w:r w:rsidRPr="00DD37D8">
        <w:rPr>
          <w:rFonts w:ascii="David" w:eastAsia="Calibri" w:hAnsi="David"/>
          <w:noProof w:val="0"/>
          <w:rtl/>
        </w:rPr>
        <w:t>", וזו תכליתו החקיקתית. ראו: תמ</w:t>
      </w:r>
      <w:r w:rsidR="00296D9C">
        <w:rPr>
          <w:rFonts w:ascii="David" w:eastAsia="Calibri" w:hAnsi="David" w:hint="cs"/>
          <w:noProof w:val="0"/>
          <w:rtl/>
        </w:rPr>
        <w:t>"</w:t>
      </w:r>
      <w:r w:rsidRPr="00DD37D8">
        <w:rPr>
          <w:rFonts w:ascii="David" w:eastAsia="Calibri" w:hAnsi="David"/>
          <w:noProof w:val="0"/>
          <w:rtl/>
        </w:rPr>
        <w:t xml:space="preserve">ש (פ"ת) 52238-10-18‏ </w:t>
      </w:r>
      <w:r w:rsidRPr="00DD37D8">
        <w:rPr>
          <w:rFonts w:ascii="David" w:eastAsia="Calibri" w:hAnsi="David"/>
          <w:b/>
          <w:bCs/>
          <w:noProof w:val="0"/>
          <w:rtl/>
        </w:rPr>
        <w:t>פלוני נ' אלמונית ואח'</w:t>
      </w:r>
      <w:r w:rsidRPr="00DD37D8">
        <w:rPr>
          <w:rFonts w:ascii="David" w:eastAsia="Calibri" w:hAnsi="David"/>
          <w:noProof w:val="0"/>
          <w:rtl/>
        </w:rPr>
        <w:t xml:space="preserve"> (16.06.2021);  א"פ (ת"א) 40061-11-19 </w:t>
      </w:r>
      <w:r w:rsidRPr="00DD37D8">
        <w:rPr>
          <w:rFonts w:ascii="David" w:eastAsia="Calibri" w:hAnsi="David"/>
          <w:b/>
          <w:bCs/>
          <w:noProof w:val="0"/>
          <w:rtl/>
        </w:rPr>
        <w:t>הקרן לטיפול בחסויים נ' ש.ל</w:t>
      </w:r>
      <w:r w:rsidRPr="00DD37D8">
        <w:rPr>
          <w:rFonts w:ascii="David" w:eastAsia="Calibri" w:hAnsi="David"/>
          <w:noProof w:val="0"/>
          <w:rtl/>
        </w:rPr>
        <w:t xml:space="preserve"> (09.12.2019).</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באופן דומה לעקרון העל החל בדיני הירושה - לבחון את "רצון המת" החופשי, הרי שגם כאשר נדרשים אנו לבחינת תוקפו של ייפוי הכוח המתמשך, </w:t>
      </w:r>
      <w:r w:rsidRPr="00DD37D8">
        <w:rPr>
          <w:rFonts w:ascii="David" w:eastAsia="Calibri" w:hAnsi="David"/>
          <w:b/>
          <w:bCs/>
          <w:noProof w:val="0"/>
          <w:rtl/>
        </w:rPr>
        <w:t>עקרון העל הוא טובת הממנה והגשמת רצונו</w:t>
      </w:r>
      <w:r w:rsidRPr="00DD37D8">
        <w:rPr>
          <w:rFonts w:ascii="David" w:eastAsia="Calibri" w:hAnsi="David"/>
          <w:noProof w:val="0"/>
          <w:rtl/>
        </w:rPr>
        <w:t xml:space="preserve"> </w:t>
      </w:r>
      <w:r w:rsidR="00631AF2" w:rsidRPr="00631AF2">
        <w:rPr>
          <w:rFonts w:ascii="David" w:eastAsia="Calibri" w:hAnsi="David" w:hint="cs"/>
          <w:b/>
          <w:bCs/>
          <w:noProof w:val="0"/>
          <w:rtl/>
        </w:rPr>
        <w:t>האמיתי</w:t>
      </w:r>
      <w:r w:rsidR="00631AF2">
        <w:rPr>
          <w:rFonts w:ascii="David" w:eastAsia="Calibri" w:hAnsi="David" w:hint="cs"/>
          <w:noProof w:val="0"/>
          <w:rtl/>
        </w:rPr>
        <w:t xml:space="preserve"> </w:t>
      </w:r>
      <w:r w:rsidR="00631AF2" w:rsidRPr="00631AF2">
        <w:rPr>
          <w:rFonts w:ascii="David" w:eastAsia="Calibri" w:hAnsi="David" w:hint="cs"/>
          <w:b/>
          <w:bCs/>
          <w:noProof w:val="0"/>
          <w:rtl/>
        </w:rPr>
        <w:t>והחופשי</w:t>
      </w:r>
      <w:r w:rsidR="00631AF2">
        <w:rPr>
          <w:rFonts w:ascii="David" w:eastAsia="Calibri" w:hAnsi="David" w:hint="cs"/>
          <w:noProof w:val="0"/>
          <w:rtl/>
        </w:rPr>
        <w:t xml:space="preserve"> </w:t>
      </w:r>
      <w:r w:rsidRPr="00DD37D8">
        <w:rPr>
          <w:rFonts w:ascii="David" w:eastAsia="Calibri" w:hAnsi="David"/>
          <w:noProof w:val="0"/>
          <w:rtl/>
        </w:rPr>
        <w:t>(ראו לעניין זה גם החלטתי מיום 9.1.24).</w:t>
      </w:r>
      <w:r w:rsidRPr="00DD37D8">
        <w:rPr>
          <w:rFonts w:ascii="Calibri" w:eastAsia="Calibri" w:hAnsi="Calibri" w:cs="Arial"/>
          <w:noProof w:val="0"/>
          <w:sz w:val="22"/>
          <w:szCs w:val="22"/>
          <w:rtl/>
        </w:rPr>
        <w:t xml:space="preserve"> </w:t>
      </w:r>
    </w:p>
    <w:p w:rsidR="00DD37D8" w:rsidRPr="00DD37D8" w:rsidRDefault="00DD37D8" w:rsidP="00DD37D8">
      <w:pPr>
        <w:spacing w:line="360" w:lineRule="auto"/>
        <w:ind w:left="720"/>
        <w:contextualSpacing/>
        <w:jc w:val="both"/>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עיקרון זה קיבל משנה תוקף בשלל ההוראות שנועדו להגן על טובת הממנה בתיקון מס' 18, באופן העולה בקנה אחד עם תכליתו של החוק ושל מוסד ייפוי הכוח המתמשך. </w:t>
      </w:r>
    </w:p>
    <w:p w:rsidR="00DD37D8" w:rsidRPr="00DD37D8" w:rsidRDefault="00DD37D8" w:rsidP="00DD37D8">
      <w:pPr>
        <w:spacing w:after="160" w:line="256" w:lineRule="auto"/>
        <w:ind w:left="720"/>
        <w:contextualSpacing/>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יפים לעניין זה אף דברי כב</w:t>
      </w:r>
      <w:r w:rsidR="006154AC">
        <w:rPr>
          <w:rFonts w:ascii="David" w:eastAsia="Calibri" w:hAnsi="David"/>
          <w:noProof w:val="0"/>
          <w:rtl/>
        </w:rPr>
        <w:t>' השופט יזרע</w:t>
      </w:r>
      <w:r w:rsidR="002B08A8">
        <w:rPr>
          <w:rFonts w:ascii="David" w:eastAsia="Calibri" w:hAnsi="David"/>
          <w:noProof w:val="0"/>
          <w:rtl/>
        </w:rPr>
        <w:t>א</w:t>
      </w:r>
      <w:r w:rsidR="00296D9C">
        <w:rPr>
          <w:rFonts w:ascii="David" w:eastAsia="Calibri" w:hAnsi="David" w:hint="cs"/>
          <w:noProof w:val="0"/>
          <w:rtl/>
        </w:rPr>
        <w:t>לי</w:t>
      </w:r>
      <w:r w:rsidR="006154AC">
        <w:rPr>
          <w:rFonts w:ascii="David" w:eastAsia="Calibri" w:hAnsi="David"/>
          <w:noProof w:val="0"/>
          <w:rtl/>
        </w:rPr>
        <w:t xml:space="preserve"> בא"פ 5658-06-20</w:t>
      </w:r>
      <w:r w:rsidR="006154AC">
        <w:rPr>
          <w:rFonts w:ascii="David" w:eastAsia="Calibri" w:hAnsi="David" w:hint="cs"/>
          <w:noProof w:val="0"/>
          <w:rtl/>
        </w:rPr>
        <w:t xml:space="preserve">, </w:t>
      </w:r>
      <w:r w:rsidRPr="00DD37D8">
        <w:rPr>
          <w:rFonts w:ascii="David" w:eastAsia="Calibri" w:hAnsi="David"/>
          <w:noProof w:val="0"/>
          <w:rtl/>
        </w:rPr>
        <w:t>לפיהם: "</w:t>
      </w:r>
      <w:r w:rsidRPr="00DD37D8">
        <w:rPr>
          <w:rFonts w:ascii="David" w:eastAsia="Calibri" w:hAnsi="David"/>
          <w:b/>
          <w:bCs/>
          <w:noProof w:val="0"/>
          <w:rtl/>
        </w:rPr>
        <w:t>חזרת המחוקק על הצורך בבדיקת רצונו של הממנה, ובכלל זה האם הושפע הממנה ממאן דהוא, או נוצל על ידי מאן דהוא, עת חתם על ייפוי הכח המתמשך, מביאה לידי ביטוי את העקרונות עליהם מבקש החוק להגן: כיבוד והגנה על רצונו של הממנה ושליטתו בשאלה מי ינהל את ענייניו כשלא יוכל לטפל בהם – יהא מיופה הכח אשר יהא</w:t>
      </w:r>
      <w:r w:rsidRPr="00DD37D8">
        <w:rPr>
          <w:rFonts w:ascii="David" w:eastAsia="Calibri" w:hAnsi="David"/>
          <w:noProof w:val="0"/>
          <w:rtl/>
        </w:rPr>
        <w:t>". (פסקה 80 לפסק דינו).</w:t>
      </w:r>
    </w:p>
    <w:p w:rsidR="00DD37D8" w:rsidRPr="00DD37D8" w:rsidRDefault="00DD37D8" w:rsidP="00DD37D8">
      <w:pPr>
        <w:spacing w:line="360" w:lineRule="auto"/>
        <w:ind w:left="720"/>
        <w:contextualSpacing/>
        <w:jc w:val="both"/>
        <w:rPr>
          <w:rFonts w:ascii="David" w:eastAsia="Calibri" w:hAnsi="David"/>
          <w:noProof w:val="0"/>
        </w:rPr>
      </w:pPr>
    </w:p>
    <w:p w:rsidR="00DD37D8" w:rsidRDefault="00DD37D8" w:rsidP="00130832">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באופן דומה למחלוקות המ</w:t>
      </w:r>
      <w:r w:rsidR="00904EA5">
        <w:rPr>
          <w:rFonts w:ascii="David" w:eastAsia="Calibri" w:hAnsi="David" w:hint="cs"/>
          <w:noProof w:val="0"/>
          <w:rtl/>
        </w:rPr>
        <w:t>ת</w:t>
      </w:r>
      <w:r w:rsidRPr="00DD37D8">
        <w:rPr>
          <w:rFonts w:ascii="David" w:eastAsia="Calibri" w:hAnsi="David"/>
          <w:noProof w:val="0"/>
          <w:rtl/>
        </w:rPr>
        <w:t>עוררות בין יורשים, או יורשים פוטנצי</w:t>
      </w:r>
      <w:r w:rsidR="002B08A8">
        <w:rPr>
          <w:rFonts w:ascii="David" w:eastAsia="Calibri" w:hAnsi="David"/>
          <w:noProof w:val="0"/>
          <w:rtl/>
        </w:rPr>
        <w:t>א</w:t>
      </w:r>
      <w:r w:rsidR="003B3743">
        <w:rPr>
          <w:rFonts w:ascii="David" w:eastAsia="Calibri" w:hAnsi="David" w:hint="cs"/>
          <w:noProof w:val="0"/>
          <w:rtl/>
        </w:rPr>
        <w:t>ל</w:t>
      </w:r>
      <w:r w:rsidRPr="00DD37D8">
        <w:rPr>
          <w:rFonts w:ascii="David" w:eastAsia="Calibri" w:hAnsi="David"/>
          <w:noProof w:val="0"/>
          <w:rtl/>
        </w:rPr>
        <w:t xml:space="preserve">ים לאחר הפטירה, הרי שגם במקרה של סכסוך מקדים בין אותם צדדים, המתעורר עוד </w:t>
      </w:r>
      <w:r w:rsidRPr="00DD37D8">
        <w:rPr>
          <w:rFonts w:ascii="David" w:eastAsia="Calibri" w:hAnsi="David"/>
          <w:b/>
          <w:bCs/>
          <w:noProof w:val="0"/>
          <w:rtl/>
        </w:rPr>
        <w:t>בחיי</w:t>
      </w:r>
      <w:r w:rsidRPr="00DD37D8">
        <w:rPr>
          <w:rFonts w:ascii="David" w:eastAsia="Calibri" w:hAnsi="David"/>
          <w:noProof w:val="0"/>
          <w:rtl/>
        </w:rPr>
        <w:t xml:space="preserve"> המצווה במסגרת </w:t>
      </w:r>
      <w:r w:rsidR="009E377A">
        <w:rPr>
          <w:rFonts w:ascii="David" w:eastAsia="Calibri" w:hAnsi="David" w:hint="cs"/>
          <w:noProof w:val="0"/>
          <w:rtl/>
        </w:rPr>
        <w:t xml:space="preserve">הליך </w:t>
      </w:r>
      <w:r w:rsidRPr="00DD37D8">
        <w:rPr>
          <w:rFonts w:ascii="David" w:eastAsia="Calibri" w:hAnsi="David"/>
          <w:noProof w:val="0"/>
          <w:rtl/>
        </w:rPr>
        <w:t xml:space="preserve">האפוטרופסות, בכל הנוגע לתוקפו של ייפוי כוח מתמשך, עולה </w:t>
      </w:r>
      <w:r w:rsidRPr="00DD37D8">
        <w:rPr>
          <w:rFonts w:ascii="David" w:eastAsia="Calibri" w:hAnsi="David"/>
          <w:b/>
          <w:bCs/>
          <w:noProof w:val="0"/>
          <w:rtl/>
        </w:rPr>
        <w:t>חשש זהה</w:t>
      </w:r>
      <w:r w:rsidRPr="00DD37D8">
        <w:rPr>
          <w:rFonts w:ascii="David" w:eastAsia="Calibri" w:hAnsi="David"/>
          <w:noProof w:val="0"/>
          <w:rtl/>
        </w:rPr>
        <w:t xml:space="preserve"> כי החיסיון </w:t>
      </w:r>
      <w:r w:rsidR="009E377A">
        <w:rPr>
          <w:rFonts w:ascii="David" w:eastAsia="Calibri" w:hAnsi="David" w:hint="cs"/>
          <w:noProof w:val="0"/>
          <w:rtl/>
        </w:rPr>
        <w:t xml:space="preserve">עשוי </w:t>
      </w:r>
      <w:r w:rsidRPr="00DD37D8">
        <w:rPr>
          <w:rFonts w:ascii="David" w:eastAsia="Calibri" w:hAnsi="David"/>
          <w:noProof w:val="0"/>
          <w:rtl/>
        </w:rPr>
        <w:t xml:space="preserve"> ל</w:t>
      </w:r>
      <w:r w:rsidR="006154AC">
        <w:rPr>
          <w:rFonts w:ascii="David" w:eastAsia="Calibri" w:hAnsi="David"/>
          <w:noProof w:val="0"/>
          <w:rtl/>
        </w:rPr>
        <w:t>שרת אינטרס של אחת מקבוצות יל</w:t>
      </w:r>
      <w:r w:rsidR="006154AC">
        <w:rPr>
          <w:rFonts w:ascii="David" w:eastAsia="Calibri" w:hAnsi="David" w:hint="cs"/>
          <w:noProof w:val="0"/>
          <w:rtl/>
        </w:rPr>
        <w:t xml:space="preserve">דיו </w:t>
      </w:r>
      <w:r w:rsidRPr="00DD37D8">
        <w:rPr>
          <w:rFonts w:ascii="David" w:eastAsia="Calibri" w:hAnsi="David"/>
          <w:noProof w:val="0"/>
          <w:rtl/>
        </w:rPr>
        <w:t xml:space="preserve">(הם למעשה היורשים </w:t>
      </w:r>
      <w:r w:rsidR="008D2B64" w:rsidRPr="00DD37D8">
        <w:rPr>
          <w:rFonts w:ascii="David" w:eastAsia="Calibri" w:hAnsi="David" w:hint="cs"/>
          <w:noProof w:val="0"/>
          <w:rtl/>
        </w:rPr>
        <w:t>הפוטנצי</w:t>
      </w:r>
      <w:r w:rsidR="002B08A8">
        <w:rPr>
          <w:rFonts w:ascii="David" w:eastAsia="Calibri" w:hAnsi="David" w:hint="cs"/>
          <w:noProof w:val="0"/>
          <w:rtl/>
        </w:rPr>
        <w:t>א</w:t>
      </w:r>
      <w:r w:rsidR="003B3743">
        <w:rPr>
          <w:rFonts w:ascii="David" w:eastAsia="Calibri" w:hAnsi="David" w:hint="cs"/>
          <w:noProof w:val="0"/>
          <w:rtl/>
        </w:rPr>
        <w:t>ל</w:t>
      </w:r>
      <w:r w:rsidR="008D2B64" w:rsidRPr="00DD37D8">
        <w:rPr>
          <w:rFonts w:ascii="David" w:eastAsia="Calibri" w:hAnsi="David" w:hint="eastAsia"/>
          <w:noProof w:val="0"/>
          <w:rtl/>
        </w:rPr>
        <w:t>ים</w:t>
      </w:r>
      <w:r w:rsidRPr="00DD37D8">
        <w:rPr>
          <w:rFonts w:ascii="David" w:eastAsia="Calibri" w:hAnsi="David"/>
          <w:noProof w:val="0"/>
          <w:rtl/>
        </w:rPr>
        <w:t xml:space="preserve"> שרבים כבר עתה על העיזבון שיותיר להם ההורה שנגרעה כשרותו בחייו),</w:t>
      </w:r>
      <w:r w:rsidR="00904EA5">
        <w:rPr>
          <w:rFonts w:ascii="David" w:eastAsia="Calibri" w:hAnsi="David" w:hint="cs"/>
          <w:noProof w:val="0"/>
          <w:rtl/>
        </w:rPr>
        <w:t xml:space="preserve"> וכן מתקיים אינטרס דומה לחתור לגילוי רצונו האמיתי של עושה הפעולה המשפטית (המצווה או הממנה) </w:t>
      </w:r>
      <w:r w:rsidR="009E377A">
        <w:rPr>
          <w:rFonts w:ascii="David" w:eastAsia="Calibri" w:hAnsi="David" w:hint="cs"/>
          <w:noProof w:val="0"/>
          <w:rtl/>
        </w:rPr>
        <w:t xml:space="preserve"> </w:t>
      </w:r>
      <w:r w:rsidRPr="00DD37D8">
        <w:rPr>
          <w:rFonts w:ascii="David" w:eastAsia="Calibri" w:hAnsi="David"/>
          <w:b/>
          <w:bCs/>
          <w:noProof w:val="0"/>
          <w:rtl/>
        </w:rPr>
        <w:t>ומשכך דומה כי מתקיימים אותם הרציונ</w:t>
      </w:r>
      <w:r w:rsidR="002B08A8">
        <w:rPr>
          <w:rFonts w:ascii="David" w:eastAsia="Calibri" w:hAnsi="David" w:hint="cs"/>
          <w:b/>
          <w:bCs/>
          <w:noProof w:val="0"/>
          <w:rtl/>
        </w:rPr>
        <w:t>א</w:t>
      </w:r>
      <w:r w:rsidR="00A51FDF">
        <w:rPr>
          <w:rFonts w:ascii="David" w:eastAsia="Calibri" w:hAnsi="David" w:hint="cs"/>
          <w:b/>
          <w:bCs/>
          <w:noProof w:val="0"/>
          <w:rtl/>
        </w:rPr>
        <w:t>לי</w:t>
      </w:r>
      <w:r w:rsidRPr="00DD37D8">
        <w:rPr>
          <w:rFonts w:ascii="David" w:eastAsia="Calibri" w:hAnsi="David"/>
          <w:b/>
          <w:bCs/>
          <w:noProof w:val="0"/>
          <w:rtl/>
        </w:rPr>
        <w:t>ם הקבועים בפסיקה</w:t>
      </w:r>
      <w:r w:rsidRPr="00DD37D8">
        <w:rPr>
          <w:rFonts w:ascii="David" w:eastAsia="Calibri" w:hAnsi="David"/>
          <w:noProof w:val="0"/>
          <w:rtl/>
        </w:rPr>
        <w:t xml:space="preserve"> המצמצמים את תחולתו של חיסיון עורך דין-לקוח ביחסים שבין היורשים בינם לבין עצמם, גם ביחס למצב בו קיים סכסוך בין </w:t>
      </w:r>
      <w:r w:rsidR="00457FE7">
        <w:rPr>
          <w:rFonts w:ascii="David" w:eastAsia="Calibri" w:hAnsi="David" w:hint="cs"/>
          <w:noProof w:val="0"/>
          <w:rtl/>
        </w:rPr>
        <w:t>ילדיו</w:t>
      </w:r>
      <w:r w:rsidRPr="00DD37D8">
        <w:rPr>
          <w:rFonts w:ascii="David" w:eastAsia="Calibri" w:hAnsi="David"/>
          <w:noProof w:val="0"/>
          <w:rtl/>
        </w:rPr>
        <w:t xml:space="preserve"> של אדם שנגרעה כשרותו המשפטית, בשלב מקדמי של בחינת תוקפו של ייפוי הכוח המתמשך שערך בחייו.</w:t>
      </w:r>
    </w:p>
    <w:p w:rsidR="007B2DA0" w:rsidRPr="00130832" w:rsidRDefault="007B2DA0" w:rsidP="007B2DA0">
      <w:pPr>
        <w:pStyle w:val="ae"/>
        <w:rPr>
          <w:rFonts w:ascii="David" w:eastAsia="Calibri" w:hAnsi="David"/>
          <w:noProof w:val="0"/>
          <w:rtl/>
        </w:rPr>
      </w:pPr>
    </w:p>
    <w:p w:rsidR="00130832" w:rsidRPr="008A3AFC" w:rsidRDefault="007B2DA0" w:rsidP="006C31C6">
      <w:pPr>
        <w:numPr>
          <w:ilvl w:val="0"/>
          <w:numId w:val="1"/>
        </w:numPr>
        <w:spacing w:after="160" w:line="360" w:lineRule="auto"/>
        <w:contextualSpacing/>
        <w:jc w:val="both"/>
        <w:rPr>
          <w:rFonts w:ascii="David" w:eastAsia="Calibri" w:hAnsi="David"/>
          <w:noProof w:val="0"/>
        </w:rPr>
      </w:pPr>
      <w:r w:rsidRPr="008A3AFC">
        <w:rPr>
          <w:rFonts w:ascii="David" w:eastAsia="Calibri" w:hAnsi="David"/>
          <w:noProof w:val="0"/>
          <w:rtl/>
        </w:rPr>
        <w:t xml:space="preserve">לנוכח הטעמים האמורים </w:t>
      </w:r>
      <w:r w:rsidR="00130832" w:rsidRPr="008A3AFC">
        <w:rPr>
          <w:rFonts w:ascii="David" w:eastAsia="Calibri" w:hAnsi="David"/>
          <w:noProof w:val="0"/>
          <w:rtl/>
        </w:rPr>
        <w:t xml:space="preserve">לעיל </w:t>
      </w:r>
      <w:r w:rsidR="00130832" w:rsidRPr="008A3AFC">
        <w:rPr>
          <w:rFonts w:ascii="David" w:eastAsia="Calibri" w:hAnsi="David" w:hint="cs"/>
          <w:noProof w:val="0"/>
          <w:rtl/>
        </w:rPr>
        <w:t>סבורתני</w:t>
      </w:r>
      <w:r w:rsidR="00130832" w:rsidRPr="008A3AFC">
        <w:rPr>
          <w:rFonts w:ascii="David" w:eastAsia="Calibri" w:hAnsi="David"/>
          <w:noProof w:val="0"/>
          <w:rtl/>
        </w:rPr>
        <w:t xml:space="preserve">, </w:t>
      </w:r>
      <w:r w:rsidR="00130832" w:rsidRPr="008A3AFC">
        <w:rPr>
          <w:rFonts w:ascii="David" w:eastAsia="Calibri" w:hAnsi="David" w:hint="cs"/>
          <w:noProof w:val="0"/>
          <w:rtl/>
        </w:rPr>
        <w:t xml:space="preserve">כי </w:t>
      </w:r>
      <w:r w:rsidR="00130832" w:rsidRPr="008A3AFC">
        <w:rPr>
          <w:rFonts w:ascii="David" w:eastAsia="Calibri" w:hAnsi="David" w:hint="cs"/>
          <w:b/>
          <w:bCs/>
          <w:noProof w:val="0"/>
          <w:rtl/>
        </w:rPr>
        <w:t>בנסיבות המקרה דנן</w:t>
      </w:r>
      <w:r w:rsidR="00130832" w:rsidRPr="008A3AFC">
        <w:rPr>
          <w:rFonts w:ascii="David" w:eastAsia="Calibri" w:hAnsi="David" w:hint="cs"/>
          <w:noProof w:val="0"/>
          <w:rtl/>
        </w:rPr>
        <w:t xml:space="preserve"> </w:t>
      </w:r>
      <w:r w:rsidR="00130832" w:rsidRPr="008A3AFC">
        <w:rPr>
          <w:rFonts w:ascii="David" w:eastAsia="Calibri" w:hAnsi="David" w:hint="cs"/>
          <w:b/>
          <w:bCs/>
          <w:noProof w:val="0"/>
          <w:rtl/>
        </w:rPr>
        <w:t>יש טעם לצמצם</w:t>
      </w:r>
      <w:r w:rsidR="00130832" w:rsidRPr="008A3AFC">
        <w:rPr>
          <w:rFonts w:ascii="David" w:eastAsia="Calibri" w:hAnsi="David"/>
          <w:b/>
          <w:bCs/>
          <w:noProof w:val="0"/>
          <w:rtl/>
        </w:rPr>
        <w:t xml:space="preserve"> </w:t>
      </w:r>
      <w:r w:rsidR="00130832" w:rsidRPr="008A3AFC">
        <w:rPr>
          <w:rFonts w:ascii="David" w:eastAsia="Calibri" w:hAnsi="David" w:hint="cs"/>
          <w:b/>
          <w:bCs/>
          <w:noProof w:val="0"/>
          <w:rtl/>
        </w:rPr>
        <w:t xml:space="preserve">את </w:t>
      </w:r>
      <w:r w:rsidR="00130832" w:rsidRPr="008A3AFC">
        <w:rPr>
          <w:rFonts w:ascii="David" w:eastAsia="Calibri" w:hAnsi="David"/>
          <w:b/>
          <w:bCs/>
          <w:noProof w:val="0"/>
          <w:rtl/>
        </w:rPr>
        <w:t>חיסיון עורך דין-לקוח במישור היחסים בין הממנה לבין עורך ייפוי הכוח המתמשך לאחר שנגרעה כשרותו של הממנה</w:t>
      </w:r>
      <w:r w:rsidR="00130832" w:rsidRPr="008A3AFC">
        <w:rPr>
          <w:rFonts w:ascii="David" w:eastAsia="Calibri" w:hAnsi="David" w:hint="cs"/>
          <w:b/>
          <w:bCs/>
          <w:noProof w:val="0"/>
          <w:rtl/>
        </w:rPr>
        <w:t xml:space="preserve">, שכאמור יש לראות בו משום </w:t>
      </w:r>
      <w:r w:rsidR="006C31C6" w:rsidRPr="008A3AFC">
        <w:rPr>
          <w:rFonts w:ascii="David" w:eastAsia="Calibri" w:hAnsi="David" w:hint="cs"/>
          <w:b/>
          <w:bCs/>
          <w:noProof w:val="0"/>
          <w:rtl/>
        </w:rPr>
        <w:t>'</w:t>
      </w:r>
      <w:r w:rsidR="00130832" w:rsidRPr="008A3AFC">
        <w:rPr>
          <w:rFonts w:ascii="David" w:eastAsia="Calibri" w:hAnsi="David" w:hint="cs"/>
          <w:b/>
          <w:bCs/>
          <w:noProof w:val="0"/>
          <w:rtl/>
        </w:rPr>
        <w:t>ח</w:t>
      </w:r>
      <w:r w:rsidR="006C31C6" w:rsidRPr="008A3AFC">
        <w:rPr>
          <w:rFonts w:ascii="David" w:eastAsia="Calibri" w:hAnsi="David" w:hint="cs"/>
          <w:b/>
          <w:bCs/>
          <w:noProof w:val="0"/>
          <w:rtl/>
        </w:rPr>
        <w:t>י</w:t>
      </w:r>
      <w:r w:rsidR="00130832" w:rsidRPr="008A3AFC">
        <w:rPr>
          <w:rFonts w:ascii="David" w:eastAsia="Calibri" w:hAnsi="David" w:hint="cs"/>
          <w:b/>
          <w:bCs/>
          <w:noProof w:val="0"/>
          <w:rtl/>
        </w:rPr>
        <w:t>סיון יחסי</w:t>
      </w:r>
      <w:r w:rsidR="006C31C6" w:rsidRPr="008A3AFC">
        <w:rPr>
          <w:rFonts w:ascii="David" w:eastAsia="Calibri" w:hAnsi="David" w:hint="cs"/>
          <w:b/>
          <w:bCs/>
          <w:noProof w:val="0"/>
          <w:rtl/>
        </w:rPr>
        <w:t>'</w:t>
      </w:r>
      <w:r w:rsidR="00130832" w:rsidRPr="008A3AFC">
        <w:rPr>
          <w:rFonts w:ascii="David" w:eastAsia="Calibri" w:hAnsi="David" w:hint="cs"/>
          <w:b/>
          <w:bCs/>
          <w:noProof w:val="0"/>
          <w:rtl/>
        </w:rPr>
        <w:t>, וזאת לצורך בירור תוקפו של ייפוי הכ</w:t>
      </w:r>
      <w:r w:rsidR="006C31C6" w:rsidRPr="008A3AFC">
        <w:rPr>
          <w:rFonts w:ascii="David" w:eastAsia="Calibri" w:hAnsi="David" w:hint="cs"/>
          <w:b/>
          <w:bCs/>
          <w:noProof w:val="0"/>
          <w:rtl/>
        </w:rPr>
        <w:t>ו</w:t>
      </w:r>
      <w:r w:rsidR="00130832" w:rsidRPr="008A3AFC">
        <w:rPr>
          <w:rFonts w:ascii="David" w:eastAsia="Calibri" w:hAnsi="David" w:hint="cs"/>
          <w:b/>
          <w:bCs/>
          <w:noProof w:val="0"/>
          <w:rtl/>
        </w:rPr>
        <w:t>ח המתמשך במסגרת ההליך המתנהל בסוגיה זו,</w:t>
      </w:r>
      <w:r w:rsidR="00130832" w:rsidRPr="008A3AFC">
        <w:rPr>
          <w:rFonts w:ascii="David" w:eastAsia="Calibri" w:hAnsi="David" w:hint="cs"/>
          <w:noProof w:val="0"/>
          <w:rtl/>
        </w:rPr>
        <w:t xml:space="preserve"> ועל </w:t>
      </w:r>
      <w:r w:rsidR="00130832" w:rsidRPr="008A3AFC">
        <w:rPr>
          <w:rFonts w:ascii="David" w:eastAsia="Calibri" w:hAnsi="David"/>
          <w:noProof w:val="0"/>
          <w:rtl/>
        </w:rPr>
        <w:t xml:space="preserve">עורך הדין </w:t>
      </w:r>
      <w:r w:rsidR="00130832" w:rsidRPr="008A3AFC">
        <w:rPr>
          <w:rFonts w:ascii="David" w:eastAsia="Calibri" w:hAnsi="David" w:hint="cs"/>
          <w:noProof w:val="0"/>
          <w:rtl/>
        </w:rPr>
        <w:t xml:space="preserve">שערך את ייפוי הכוח המתמשך, </w:t>
      </w:r>
      <w:r w:rsidR="00130832" w:rsidRPr="008A3AFC">
        <w:rPr>
          <w:rFonts w:ascii="David" w:eastAsia="Calibri" w:hAnsi="David"/>
          <w:noProof w:val="0"/>
          <w:rtl/>
        </w:rPr>
        <w:t>בכובעו כ"שומר סף"</w:t>
      </w:r>
      <w:r w:rsidR="00130832" w:rsidRPr="008A3AFC">
        <w:rPr>
          <w:rFonts w:ascii="David" w:eastAsia="Calibri" w:hAnsi="David" w:hint="cs"/>
          <w:noProof w:val="0"/>
          <w:rtl/>
        </w:rPr>
        <w:t xml:space="preserve">, להעיד </w:t>
      </w:r>
      <w:r w:rsidR="00130832" w:rsidRPr="008A3AFC">
        <w:rPr>
          <w:rFonts w:ascii="David" w:eastAsia="Calibri" w:hAnsi="David"/>
          <w:noProof w:val="0"/>
          <w:rtl/>
        </w:rPr>
        <w:t>ביחס למילוי חובותיו על פי הדין, משום "ידו הארוכה" של הממנה עצמו, והגשמת תכלית החוק ומוסד ייפוי הכוח המתמשך</w:t>
      </w:r>
      <w:r w:rsidR="006C31C6" w:rsidRPr="008A3AFC">
        <w:rPr>
          <w:rFonts w:ascii="David" w:eastAsia="Calibri" w:hAnsi="David" w:hint="cs"/>
          <w:noProof w:val="0"/>
          <w:rtl/>
        </w:rPr>
        <w:t>.</w:t>
      </w:r>
      <w:r w:rsidR="00130832" w:rsidRPr="008A3AFC">
        <w:rPr>
          <w:rFonts w:ascii="David" w:eastAsia="Calibri" w:hAnsi="David" w:hint="cs"/>
          <w:noProof w:val="0"/>
          <w:rtl/>
        </w:rPr>
        <w:t xml:space="preserve"> </w:t>
      </w:r>
    </w:p>
    <w:p w:rsidR="00130832" w:rsidRPr="008A3AFC" w:rsidRDefault="00130832" w:rsidP="006C31C6">
      <w:pPr>
        <w:spacing w:after="160" w:line="360" w:lineRule="auto"/>
        <w:ind w:left="720"/>
        <w:contextualSpacing/>
        <w:jc w:val="both"/>
        <w:rPr>
          <w:rFonts w:ascii="David" w:eastAsia="Calibri" w:hAnsi="David"/>
          <w:noProof w:val="0"/>
        </w:rPr>
      </w:pPr>
    </w:p>
    <w:p w:rsidR="00036765" w:rsidRPr="008A3AFC" w:rsidRDefault="006C31C6" w:rsidP="00036765">
      <w:pPr>
        <w:numPr>
          <w:ilvl w:val="0"/>
          <w:numId w:val="1"/>
        </w:numPr>
        <w:spacing w:after="160" w:line="360" w:lineRule="auto"/>
        <w:contextualSpacing/>
        <w:jc w:val="both"/>
        <w:rPr>
          <w:rFonts w:ascii="David" w:eastAsia="Calibri" w:hAnsi="David"/>
          <w:noProof w:val="0"/>
        </w:rPr>
      </w:pPr>
      <w:r w:rsidRPr="008A3AFC">
        <w:rPr>
          <w:rFonts w:ascii="David" w:eastAsia="Calibri" w:hAnsi="David" w:hint="cs"/>
          <w:noProof w:val="0"/>
          <w:rtl/>
        </w:rPr>
        <w:t xml:space="preserve">דברים אלו יפים ביתר שאת </w:t>
      </w:r>
      <w:r w:rsidR="00036765" w:rsidRPr="008A3AFC">
        <w:rPr>
          <w:rFonts w:ascii="David" w:eastAsia="Calibri" w:hAnsi="David" w:hint="cs"/>
          <w:noProof w:val="0"/>
          <w:rtl/>
        </w:rPr>
        <w:t xml:space="preserve">לנוכח </w:t>
      </w:r>
      <w:r w:rsidR="00036765" w:rsidRPr="008A3AFC">
        <w:rPr>
          <w:rFonts w:ascii="David" w:eastAsia="Calibri" w:hAnsi="David" w:hint="cs"/>
          <w:b/>
          <w:bCs/>
          <w:noProof w:val="0"/>
          <w:rtl/>
        </w:rPr>
        <w:t>הסכמת הצדדים</w:t>
      </w:r>
      <w:r w:rsidR="00036765" w:rsidRPr="008A3AFC">
        <w:rPr>
          <w:rFonts w:ascii="David" w:eastAsia="Calibri" w:hAnsi="David" w:hint="cs"/>
          <w:noProof w:val="0"/>
          <w:rtl/>
        </w:rPr>
        <w:t xml:space="preserve"> להליך זה</w:t>
      </w:r>
      <w:r w:rsidRPr="008A3AFC">
        <w:rPr>
          <w:rFonts w:ascii="David" w:eastAsia="Calibri" w:hAnsi="David" w:hint="cs"/>
          <w:noProof w:val="0"/>
          <w:rtl/>
        </w:rPr>
        <w:t xml:space="preserve"> להסרת החיסיון</w:t>
      </w:r>
      <w:r w:rsidR="00036765" w:rsidRPr="008A3AFC">
        <w:rPr>
          <w:rFonts w:ascii="David" w:eastAsia="Calibri" w:hAnsi="David" w:hint="cs"/>
          <w:noProof w:val="0"/>
          <w:rtl/>
        </w:rPr>
        <w:t xml:space="preserve">. </w:t>
      </w:r>
    </w:p>
    <w:p w:rsidR="00036765" w:rsidRPr="00036765" w:rsidRDefault="00036765" w:rsidP="00036765">
      <w:pPr>
        <w:pStyle w:val="ae"/>
        <w:rPr>
          <w:rFonts w:ascii="David" w:eastAsia="Calibri" w:hAnsi="David"/>
          <w:noProof w:val="0"/>
          <w:highlight w:val="yellow"/>
          <w:rtl/>
        </w:rPr>
      </w:pPr>
    </w:p>
    <w:p w:rsidR="00DD37D8" w:rsidRPr="00DD37D8"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אף לו נניח כי יש רלוונטיות לחיסיון עורך דין-לקוח </w:t>
      </w:r>
      <w:r w:rsidR="009B435C">
        <w:rPr>
          <w:rFonts w:ascii="David" w:eastAsia="Calibri" w:hAnsi="David" w:hint="cs"/>
          <w:noProof w:val="0"/>
          <w:rtl/>
        </w:rPr>
        <w:t>במצב דברים זה</w:t>
      </w:r>
      <w:r w:rsidRPr="00DD37D8">
        <w:rPr>
          <w:rFonts w:ascii="David" w:eastAsia="Calibri" w:hAnsi="David"/>
          <w:noProof w:val="0"/>
          <w:rtl/>
        </w:rPr>
        <w:t>, וזאת במלוא עוזו – כחיסיון מוחלט (לעניין המשמעות של חיסיון מוחלט</w:t>
      </w:r>
      <w:r w:rsidR="0034026C">
        <w:rPr>
          <w:rFonts w:ascii="David" w:eastAsia="Calibri" w:hAnsi="David" w:hint="cs"/>
          <w:noProof w:val="0"/>
          <w:rtl/>
        </w:rPr>
        <w:t>,</w:t>
      </w:r>
      <w:r w:rsidRPr="00DD37D8">
        <w:rPr>
          <w:rFonts w:ascii="David" w:eastAsia="Calibri" w:hAnsi="David"/>
          <w:noProof w:val="0"/>
          <w:rtl/>
        </w:rPr>
        <w:t xml:space="preserve"> ראו: רמ"ש (ת"א) 43781-05-17 </w:t>
      </w:r>
      <w:r w:rsidRPr="00DD37D8">
        <w:rPr>
          <w:rFonts w:ascii="David" w:eastAsia="Calibri" w:hAnsi="David"/>
          <w:b/>
          <w:bCs/>
          <w:noProof w:val="0"/>
          <w:rtl/>
        </w:rPr>
        <w:t>א.מ נ' כ.מ</w:t>
      </w:r>
      <w:r w:rsidRPr="00DD37D8">
        <w:rPr>
          <w:rFonts w:ascii="David" w:eastAsia="Calibri" w:hAnsi="David"/>
          <w:noProof w:val="0"/>
          <w:rtl/>
        </w:rPr>
        <w:t xml:space="preserve"> (31.10.2017)); הרי גם אז, </w:t>
      </w:r>
      <w:r w:rsidRPr="00DD37D8">
        <w:rPr>
          <w:rFonts w:ascii="David" w:eastAsia="Calibri" w:hAnsi="David"/>
          <w:b/>
          <w:bCs/>
          <w:noProof w:val="0"/>
          <w:rtl/>
        </w:rPr>
        <w:t>בהינתן הסכמת האפוטרופוס הזמני</w:t>
      </w:r>
      <w:r w:rsidR="0034026C">
        <w:rPr>
          <w:rFonts w:ascii="David" w:eastAsia="Calibri" w:hAnsi="David"/>
          <w:noProof w:val="0"/>
          <w:rtl/>
        </w:rPr>
        <w:t xml:space="preserve"> להסרת החיסיון</w:t>
      </w:r>
      <w:r w:rsidRPr="00DD37D8">
        <w:rPr>
          <w:rFonts w:ascii="David" w:eastAsia="Calibri" w:hAnsi="David"/>
          <w:noProof w:val="0"/>
          <w:rtl/>
        </w:rPr>
        <w:t xml:space="preserve">, כמי שבא בנעליה של הגב' </w:t>
      </w:r>
      <w:r w:rsidR="00775F80">
        <w:rPr>
          <w:rFonts w:ascii="David" w:eastAsia="Calibri" w:hAnsi="David" w:hint="cs"/>
          <w:noProof w:val="0"/>
          <w:rtl/>
        </w:rPr>
        <w:t>ל'</w:t>
      </w:r>
      <w:r w:rsidRPr="00DD37D8">
        <w:rPr>
          <w:rFonts w:ascii="David" w:eastAsia="Calibri" w:hAnsi="David"/>
          <w:noProof w:val="0"/>
          <w:rtl/>
        </w:rPr>
        <w:t xml:space="preserve"> לעניין זה, הרי שיש בכל מקרה טעם להורות על הסרת החיסיון במקרה דנן.</w:t>
      </w:r>
    </w:p>
    <w:p w:rsidR="00DD37D8" w:rsidRPr="009B435C" w:rsidRDefault="00DD37D8" w:rsidP="00DD37D8">
      <w:pPr>
        <w:spacing w:after="160" w:line="256" w:lineRule="auto"/>
        <w:ind w:left="720"/>
        <w:contextualSpacing/>
        <w:rPr>
          <w:rFonts w:ascii="David" w:eastAsia="Calibri" w:hAnsi="David"/>
          <w:noProof w:val="0"/>
        </w:rPr>
      </w:pPr>
    </w:p>
    <w:p w:rsidR="00DD37D8" w:rsidRPr="00DD37D8" w:rsidRDefault="00DD37D8" w:rsidP="00DD37D8">
      <w:pPr>
        <w:numPr>
          <w:ilvl w:val="0"/>
          <w:numId w:val="1"/>
        </w:numPr>
        <w:spacing w:after="160" w:line="360" w:lineRule="auto"/>
        <w:contextualSpacing/>
        <w:jc w:val="both"/>
        <w:rPr>
          <w:rFonts w:ascii="David" w:eastAsia="Calibri" w:hAnsi="David"/>
          <w:noProof w:val="0"/>
          <w:rtl/>
        </w:rPr>
      </w:pPr>
      <w:r w:rsidRPr="00DD37D8">
        <w:rPr>
          <w:rFonts w:ascii="David" w:eastAsia="Calibri" w:hAnsi="David"/>
          <w:noProof w:val="0"/>
          <w:rtl/>
        </w:rPr>
        <w:t>יפים לעניין זה דברי כב' השופט פלקס ב</w:t>
      </w:r>
      <w:hyperlink r:id="rId10" w:history="1">
        <w:r w:rsidRPr="00DD37D8">
          <w:rPr>
            <w:rFonts w:ascii="David" w:eastAsia="Calibri" w:hAnsi="David"/>
            <w:noProof w:val="0"/>
            <w:rtl/>
          </w:rPr>
          <w:t>תלה"מ (י-ם)</w:t>
        </w:r>
        <w:r w:rsidRPr="00DD37D8">
          <w:rPr>
            <w:rFonts w:ascii="David" w:eastAsia="Calibri" w:hAnsi="David"/>
            <w:b/>
            <w:bCs/>
            <w:noProof w:val="0"/>
            <w:rtl/>
          </w:rPr>
          <w:t xml:space="preserve"> </w:t>
        </w:r>
        <w:r w:rsidRPr="00DD37D8">
          <w:rPr>
            <w:rFonts w:ascii="David" w:eastAsia="Calibri" w:hAnsi="David"/>
            <w:noProof w:val="0"/>
            <w:rtl/>
          </w:rPr>
          <w:t>35186-04-17</w:t>
        </w:r>
        <w:r w:rsidRPr="00DD37D8">
          <w:rPr>
            <w:rFonts w:ascii="David" w:eastAsia="Calibri" w:hAnsi="David"/>
            <w:b/>
            <w:bCs/>
            <w:noProof w:val="0"/>
            <w:rtl/>
          </w:rPr>
          <w:t> נ.מ.ז. נ' נ.ש.ז </w:t>
        </w:r>
        <w:r w:rsidRPr="00DD37D8">
          <w:rPr>
            <w:rFonts w:ascii="David" w:eastAsia="Calibri" w:hAnsi="David"/>
            <w:noProof w:val="0"/>
            <w:rtl/>
          </w:rPr>
          <w:t>(12.08.2021)‏</w:t>
        </w:r>
      </w:hyperlink>
      <w:r w:rsidRPr="00DD37D8">
        <w:rPr>
          <w:rFonts w:ascii="David" w:eastAsia="Calibri" w:hAnsi="David"/>
          <w:noProof w:val="0"/>
          <w:rtl/>
        </w:rPr>
        <w:t>‏, לפיהם: "</w:t>
      </w:r>
      <w:r w:rsidRPr="00DD37D8">
        <w:rPr>
          <w:rFonts w:ascii="David" w:eastAsia="Calibri" w:hAnsi="David"/>
          <w:b/>
          <w:bCs/>
          <w:noProof w:val="0"/>
          <w:u w:val="single"/>
          <w:rtl/>
        </w:rPr>
        <w:t>עמדת האם שבפני, בנסיבות בהן מונתה לה אפוטרופסית לדין - היא איפוא עמדת האפוטרופסית לדין, האמונה על טובתה לצורך הליך זה</w:t>
      </w:r>
      <w:r w:rsidRPr="00DD37D8">
        <w:rPr>
          <w:rFonts w:ascii="David" w:eastAsia="Calibri" w:hAnsi="David"/>
          <w:b/>
          <w:bCs/>
          <w:noProof w:val="0"/>
          <w:rtl/>
        </w:rPr>
        <w:t xml:space="preserve">. כאשר מתמנה אפוטרופוס לאדם, נוצרים בינו לבין האדם יחסי נאמנות (סעיף 67ד' לחוק הכשרות המשפטית). אפוטרופוס הוא גם נאמנו של בית המשפט הממנה אותו, שהרי בבסיס המינוי מונחת מסקנת בית המשפט, לפיה האפוטרופוס הוא מי שנראה לו בנסיבות העניין מתאים יותר לטובת האדם (סעיף 35(א) לחוק הכשרות המשפטית). מערכת נאמנויות כפולה זו מבססת חזקה שאפוטרופוס ממונה פועל בהתאם לחובותיו לטובת האדם  שמונה לשמש לו כאפוטרופוס "...לדאוג לעניינים שנמסרו לו על-ידי בית המשפט ולפעול לשמירת הזכויות, האינטרסים והצרכים של האדם ולקבל החלטות בקשר </w:t>
      </w:r>
      <w:r w:rsidR="002B08A8">
        <w:rPr>
          <w:rFonts w:ascii="David" w:eastAsia="Calibri" w:hAnsi="David"/>
          <w:b/>
          <w:bCs/>
          <w:noProof w:val="0"/>
          <w:rtl/>
        </w:rPr>
        <w:t>א'</w:t>
      </w:r>
      <w:r w:rsidRPr="00DD37D8">
        <w:rPr>
          <w:rFonts w:ascii="David" w:eastAsia="Calibri" w:hAnsi="David"/>
          <w:b/>
          <w:bCs/>
          <w:noProof w:val="0"/>
          <w:rtl/>
        </w:rPr>
        <w:t>הם והכול בהתאם להוראות פרק שלישי1" (סעיף 39(א) לחוק הכשרות המשפטית). ראו: א"פ (ת"א) 42296-10-20 ש.ב. נ' פ' (אדם שמונה לו אפוטרופוס) ואח' [פורסם בנבו] (2021), עמ' 5-6</w:t>
      </w:r>
      <w:r w:rsidRPr="00DD37D8">
        <w:rPr>
          <w:rFonts w:ascii="David" w:eastAsia="Calibri" w:hAnsi="David"/>
          <w:b/>
          <w:bCs/>
          <w:noProof w:val="0"/>
        </w:rPr>
        <w:t>."</w:t>
      </w:r>
    </w:p>
    <w:p w:rsidR="00DD37D8" w:rsidRPr="00DD37D8" w:rsidRDefault="00DD37D8" w:rsidP="00DD37D8">
      <w:pPr>
        <w:spacing w:after="160" w:line="256" w:lineRule="auto"/>
        <w:ind w:left="720"/>
        <w:contextualSpacing/>
        <w:rPr>
          <w:rFonts w:ascii="David" w:eastAsia="Calibri" w:hAnsi="David"/>
          <w:noProof w:val="0"/>
        </w:rPr>
      </w:pPr>
    </w:p>
    <w:p w:rsidR="007B2DA0" w:rsidRDefault="00DD37D8" w:rsidP="00775F80">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במקרה דנן האפוטרופסית לדין סברה כאמור כי לא היא זו שבאה בנעלי הגב' </w:t>
      </w:r>
      <w:r w:rsidR="00775F80">
        <w:rPr>
          <w:rFonts w:ascii="David" w:eastAsia="Calibri" w:hAnsi="David" w:hint="cs"/>
          <w:noProof w:val="0"/>
          <w:rtl/>
        </w:rPr>
        <w:t>ל'</w:t>
      </w:r>
      <w:r w:rsidRPr="00DD37D8">
        <w:rPr>
          <w:rFonts w:ascii="David" w:eastAsia="Calibri" w:hAnsi="David"/>
          <w:noProof w:val="0"/>
          <w:rtl/>
        </w:rPr>
        <w:t xml:space="preserve"> לעניין זה, אלא דווקא האפוטרופוס הזמני שמונה לכלל ענייניה על פי החלטתי מיום 16.1.24</w:t>
      </w:r>
      <w:r w:rsidR="009E377A">
        <w:rPr>
          <w:rFonts w:ascii="David" w:eastAsia="Calibri" w:hAnsi="David" w:hint="cs"/>
          <w:noProof w:val="0"/>
          <w:rtl/>
        </w:rPr>
        <w:t xml:space="preserve"> , וב"כ היועמ"ש בא"כ הבהירה א</w:t>
      </w:r>
      <w:r w:rsidR="007B2DA0">
        <w:rPr>
          <w:rFonts w:ascii="David" w:eastAsia="Calibri" w:hAnsi="David" w:hint="cs"/>
          <w:noProof w:val="0"/>
          <w:rtl/>
        </w:rPr>
        <w:t>ף היא כי העמדה הרלוונטית הינה של האפוטרופוס הזמני</w:t>
      </w:r>
      <w:r w:rsidR="00AC0933">
        <w:rPr>
          <w:rFonts w:ascii="David" w:eastAsia="Calibri" w:hAnsi="David" w:hint="cs"/>
          <w:noProof w:val="0"/>
          <w:rtl/>
        </w:rPr>
        <w:t xml:space="preserve"> לכלל ענייניה של הגב' </w:t>
      </w:r>
      <w:r w:rsidR="00775F80">
        <w:rPr>
          <w:rFonts w:ascii="David" w:eastAsia="Calibri" w:hAnsi="David" w:hint="cs"/>
          <w:noProof w:val="0"/>
          <w:rtl/>
        </w:rPr>
        <w:t>ל'</w:t>
      </w:r>
      <w:r w:rsidR="007B2DA0">
        <w:rPr>
          <w:rFonts w:ascii="David" w:eastAsia="Calibri" w:hAnsi="David" w:hint="cs"/>
          <w:noProof w:val="0"/>
          <w:rtl/>
        </w:rPr>
        <w:t>, אשר</w:t>
      </w:r>
      <w:r w:rsidR="007B2DA0" w:rsidRPr="007B2DA0">
        <w:rPr>
          <w:rFonts w:ascii="David" w:eastAsia="Calibri" w:hAnsi="David"/>
          <w:noProof w:val="0"/>
          <w:rtl/>
        </w:rPr>
        <w:t xml:space="preserve"> </w:t>
      </w:r>
      <w:r w:rsidR="007B2DA0" w:rsidRPr="00DD37D8">
        <w:rPr>
          <w:rFonts w:ascii="David" w:eastAsia="Calibri" w:hAnsi="David"/>
          <w:noProof w:val="0"/>
          <w:rtl/>
        </w:rPr>
        <w:t>בא בנעליה לעניין זכותה ל</w:t>
      </w:r>
      <w:r w:rsidR="009B435C">
        <w:rPr>
          <w:rFonts w:ascii="David" w:eastAsia="Calibri" w:hAnsi="David" w:hint="cs"/>
          <w:noProof w:val="0"/>
          <w:rtl/>
        </w:rPr>
        <w:t>ו</w:t>
      </w:r>
      <w:r w:rsidR="007B2DA0" w:rsidRPr="00DD37D8">
        <w:rPr>
          <w:rFonts w:ascii="David" w:eastAsia="Calibri" w:hAnsi="David"/>
          <w:noProof w:val="0"/>
          <w:rtl/>
        </w:rPr>
        <w:t>ותר על חיסיון עו"ד-לקוח</w:t>
      </w:r>
      <w:r w:rsidR="007B2DA0">
        <w:rPr>
          <w:rFonts w:ascii="David" w:eastAsia="Calibri" w:hAnsi="David" w:hint="cs"/>
          <w:noProof w:val="0"/>
          <w:rtl/>
        </w:rPr>
        <w:t>.</w:t>
      </w:r>
    </w:p>
    <w:p w:rsidR="007B2DA0" w:rsidRPr="009B435C" w:rsidRDefault="007B2DA0" w:rsidP="007B2DA0">
      <w:pPr>
        <w:pStyle w:val="ae"/>
        <w:rPr>
          <w:rFonts w:ascii="David" w:eastAsia="Calibri" w:hAnsi="David"/>
          <w:noProof w:val="0"/>
          <w:rtl/>
        </w:rPr>
      </w:pPr>
    </w:p>
    <w:p w:rsidR="007B2DA0" w:rsidRDefault="007B2DA0" w:rsidP="00775F80">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lastRenderedPageBreak/>
        <w:t xml:space="preserve">כאמור, הוגשה לפתחי עמדה ברורה מטעם </w:t>
      </w:r>
      <w:r w:rsidR="00DD37D8" w:rsidRPr="00DD37D8">
        <w:rPr>
          <w:rFonts w:ascii="David" w:eastAsia="Calibri" w:hAnsi="David"/>
          <w:noProof w:val="0"/>
          <w:rtl/>
        </w:rPr>
        <w:t>המרכז ה</w:t>
      </w:r>
      <w:r w:rsidR="00EB09A6">
        <w:rPr>
          <w:rFonts w:ascii="David" w:eastAsia="Calibri" w:hAnsi="David"/>
          <w:noProof w:val="0"/>
          <w:rtl/>
        </w:rPr>
        <w:t>ישראלי</w:t>
      </w:r>
      <w:r w:rsidR="00DD37D8" w:rsidRPr="00DD37D8">
        <w:rPr>
          <w:rFonts w:ascii="David" w:eastAsia="Calibri" w:hAnsi="David"/>
          <w:noProof w:val="0"/>
          <w:rtl/>
        </w:rPr>
        <w:t xml:space="preserve"> לאפוטרופסות, האפוטרופוס הזמני שמונה לכלל ענייניה של הגב' </w:t>
      </w:r>
      <w:r w:rsidR="00775F80">
        <w:rPr>
          <w:rFonts w:ascii="David" w:eastAsia="Calibri" w:hAnsi="David" w:hint="cs"/>
          <w:noProof w:val="0"/>
          <w:rtl/>
        </w:rPr>
        <w:t>ל'</w:t>
      </w:r>
      <w:r w:rsidR="00DD37D8" w:rsidRPr="00DD37D8">
        <w:rPr>
          <w:rFonts w:ascii="David" w:eastAsia="Calibri" w:hAnsi="David"/>
          <w:noProof w:val="0"/>
          <w:rtl/>
        </w:rPr>
        <w:t xml:space="preserve"> (אשר לגביו אין חולק כי </w:t>
      </w:r>
      <w:r w:rsidR="0034026C">
        <w:rPr>
          <w:rFonts w:ascii="David" w:eastAsia="Calibri" w:hAnsi="David" w:hint="cs"/>
          <w:noProof w:val="0"/>
          <w:rtl/>
        </w:rPr>
        <w:t xml:space="preserve">הוא </w:t>
      </w:r>
      <w:r w:rsidR="00DD37D8" w:rsidRPr="00DD37D8">
        <w:rPr>
          <w:rFonts w:ascii="David" w:eastAsia="Calibri" w:hAnsi="David"/>
          <w:noProof w:val="0"/>
          <w:rtl/>
        </w:rPr>
        <w:t>בא בנעליה), התומכת בוויתור על החיסיון מטעמה</w:t>
      </w:r>
      <w:r>
        <w:rPr>
          <w:rFonts w:ascii="David" w:eastAsia="Calibri" w:hAnsi="David" w:hint="cs"/>
          <w:noProof w:val="0"/>
          <w:rtl/>
        </w:rPr>
        <w:t>.</w:t>
      </w:r>
    </w:p>
    <w:p w:rsidR="007B2DA0" w:rsidRDefault="007B2DA0" w:rsidP="007B2DA0">
      <w:pPr>
        <w:pStyle w:val="ae"/>
        <w:rPr>
          <w:rFonts w:ascii="David" w:eastAsia="Calibri" w:hAnsi="David"/>
          <w:noProof w:val="0"/>
          <w:rtl/>
        </w:rPr>
      </w:pPr>
    </w:p>
    <w:p w:rsidR="00DD37D8" w:rsidRDefault="00DD37D8" w:rsidP="00DA77CC">
      <w:pPr>
        <w:numPr>
          <w:ilvl w:val="0"/>
          <w:numId w:val="1"/>
        </w:numPr>
        <w:spacing w:after="160" w:line="360" w:lineRule="auto"/>
        <w:contextualSpacing/>
        <w:jc w:val="both"/>
        <w:rPr>
          <w:rFonts w:ascii="David" w:eastAsia="Calibri" w:hAnsi="David"/>
          <w:noProof w:val="0"/>
        </w:rPr>
      </w:pPr>
      <w:r w:rsidRPr="00DD37D8">
        <w:rPr>
          <w:rFonts w:ascii="David" w:eastAsia="Calibri" w:hAnsi="David"/>
          <w:noProof w:val="0"/>
          <w:rtl/>
        </w:rPr>
        <w:t xml:space="preserve">במסקנה </w:t>
      </w:r>
      <w:r w:rsidR="00DA77CC">
        <w:rPr>
          <w:rFonts w:ascii="David" w:eastAsia="Calibri" w:hAnsi="David" w:hint="cs"/>
          <w:noProof w:val="0"/>
          <w:rtl/>
        </w:rPr>
        <w:t>זו</w:t>
      </w:r>
      <w:r w:rsidR="0053726B">
        <w:rPr>
          <w:rFonts w:ascii="David" w:eastAsia="Calibri" w:hAnsi="David" w:hint="cs"/>
          <w:noProof w:val="0"/>
          <w:rtl/>
        </w:rPr>
        <w:t>,</w:t>
      </w:r>
      <w:r w:rsidRPr="00DD37D8">
        <w:rPr>
          <w:rFonts w:ascii="David" w:eastAsia="Calibri" w:hAnsi="David"/>
          <w:noProof w:val="0"/>
          <w:rtl/>
        </w:rPr>
        <w:t xml:space="preserve"> יש לציין</w:t>
      </w:r>
      <w:r w:rsidR="0053726B">
        <w:rPr>
          <w:rFonts w:ascii="David" w:eastAsia="Calibri" w:hAnsi="David" w:hint="cs"/>
          <w:noProof w:val="0"/>
          <w:rtl/>
        </w:rPr>
        <w:t>,</w:t>
      </w:r>
      <w:r w:rsidRPr="00DD37D8">
        <w:rPr>
          <w:rFonts w:ascii="David" w:eastAsia="Calibri" w:hAnsi="David"/>
          <w:noProof w:val="0"/>
          <w:rtl/>
        </w:rPr>
        <w:t xml:space="preserve"> תומכת על פניו גם וועדת האתיקה של לשכת עורכי הדין, כפי שניתן ללמוד מתגובתה הנ"ל מיום 21.5.24, שהוגשה לתיק  בית המשפט ביום 22.5.24.</w:t>
      </w:r>
    </w:p>
    <w:p w:rsidR="009B435C" w:rsidRDefault="009B435C" w:rsidP="009B435C">
      <w:pPr>
        <w:pStyle w:val="ae"/>
        <w:rPr>
          <w:rFonts w:ascii="David" w:eastAsia="Calibri" w:hAnsi="David"/>
          <w:noProof w:val="0"/>
          <w:rtl/>
        </w:rPr>
      </w:pPr>
    </w:p>
    <w:p w:rsidR="009B435C" w:rsidRPr="00DD37D8" w:rsidRDefault="009B435C" w:rsidP="00775F80">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לפיכך,</w:t>
      </w:r>
      <w:r w:rsidR="00AC0933">
        <w:rPr>
          <w:rFonts w:ascii="David" w:eastAsia="Calibri" w:hAnsi="David" w:hint="cs"/>
          <w:noProof w:val="0"/>
          <w:rtl/>
        </w:rPr>
        <w:t xml:space="preserve"> גם</w:t>
      </w:r>
      <w:r>
        <w:rPr>
          <w:rFonts w:ascii="David" w:eastAsia="Calibri" w:hAnsi="David" w:hint="cs"/>
          <w:noProof w:val="0"/>
          <w:rtl/>
        </w:rPr>
        <w:t xml:space="preserve"> נוכח הסכמת האפוטרופוס הזמני שמונה עבור הגב' </w:t>
      </w:r>
      <w:r w:rsidR="00775F80">
        <w:rPr>
          <w:rFonts w:ascii="David" w:eastAsia="Calibri" w:hAnsi="David" w:hint="cs"/>
          <w:noProof w:val="0"/>
          <w:rtl/>
        </w:rPr>
        <w:t>ל'</w:t>
      </w:r>
      <w:r>
        <w:rPr>
          <w:rFonts w:ascii="David" w:eastAsia="Calibri" w:hAnsi="David" w:hint="cs"/>
          <w:noProof w:val="0"/>
          <w:rtl/>
        </w:rPr>
        <w:t xml:space="preserve">, יש להסיר את החיסיון ולאפשר </w:t>
      </w:r>
      <w:r w:rsidRPr="00EB09A6">
        <w:rPr>
          <w:rFonts w:ascii="David" w:eastAsia="Calibri" w:hAnsi="David" w:hint="cs"/>
          <w:noProof w:val="0"/>
          <w:rtl/>
        </w:rPr>
        <w:t xml:space="preserve">לעו"ד </w:t>
      </w:r>
      <w:r w:rsidR="002B08A8" w:rsidRPr="00EB09A6">
        <w:rPr>
          <w:rFonts w:ascii="David" w:eastAsia="Calibri" w:hAnsi="David" w:hint="cs"/>
          <w:noProof w:val="0"/>
          <w:rtl/>
        </w:rPr>
        <w:t>א</w:t>
      </w:r>
      <w:r w:rsidR="002B08A8" w:rsidRPr="00EB09A6">
        <w:rPr>
          <w:rFonts w:ascii="David" w:eastAsia="Calibri" w:hAnsi="David"/>
          <w:noProof w:val="0"/>
          <w:rtl/>
        </w:rPr>
        <w:t>'</w:t>
      </w:r>
      <w:r>
        <w:rPr>
          <w:rFonts w:ascii="David" w:eastAsia="Calibri" w:hAnsi="David" w:hint="cs"/>
          <w:noProof w:val="0"/>
          <w:rtl/>
        </w:rPr>
        <w:t xml:space="preserve"> למסור לבית המשפט תמונה מלאה אודות תהליך עריכת ייפוי הכוח המתמשך, כשירותה, ואומד דעתה של הגב' </w:t>
      </w:r>
      <w:r w:rsidR="00775F80">
        <w:rPr>
          <w:rFonts w:ascii="David" w:eastAsia="Calibri" w:hAnsi="David" w:hint="cs"/>
          <w:noProof w:val="0"/>
          <w:rtl/>
        </w:rPr>
        <w:t>ל'</w:t>
      </w:r>
      <w:r>
        <w:rPr>
          <w:rFonts w:ascii="David" w:eastAsia="Calibri" w:hAnsi="David" w:hint="cs"/>
          <w:noProof w:val="0"/>
          <w:rtl/>
        </w:rPr>
        <w:t xml:space="preserve"> לעניין זה.</w:t>
      </w:r>
    </w:p>
    <w:p w:rsidR="00DD37D8" w:rsidRPr="00DD37D8" w:rsidRDefault="00DD37D8" w:rsidP="00DD37D8">
      <w:pPr>
        <w:spacing w:line="360" w:lineRule="auto"/>
        <w:ind w:left="720"/>
        <w:contextualSpacing/>
        <w:jc w:val="both"/>
        <w:rPr>
          <w:rFonts w:ascii="David" w:eastAsia="Calibri" w:hAnsi="David"/>
          <w:noProof w:val="0"/>
          <w:rtl/>
        </w:rPr>
      </w:pPr>
    </w:p>
    <w:p w:rsidR="00DD37D8" w:rsidRPr="008A3AFC" w:rsidRDefault="00DD37D8" w:rsidP="00775F80">
      <w:pPr>
        <w:numPr>
          <w:ilvl w:val="0"/>
          <w:numId w:val="1"/>
        </w:numPr>
        <w:spacing w:after="160" w:line="360" w:lineRule="auto"/>
        <w:contextualSpacing/>
        <w:jc w:val="both"/>
        <w:rPr>
          <w:rFonts w:ascii="David" w:eastAsia="Calibri" w:hAnsi="David"/>
          <w:noProof w:val="0"/>
        </w:rPr>
      </w:pPr>
      <w:r w:rsidRPr="00716F01">
        <w:rPr>
          <w:rFonts w:ascii="David" w:eastAsia="Calibri" w:hAnsi="David"/>
          <w:noProof w:val="0"/>
          <w:rtl/>
        </w:rPr>
        <w:t>סיכומם של דברים</w:t>
      </w:r>
      <w:r w:rsidRPr="00DD37D8">
        <w:rPr>
          <w:rFonts w:ascii="David" w:eastAsia="Calibri" w:hAnsi="David"/>
          <w:noProof w:val="0"/>
          <w:rtl/>
        </w:rPr>
        <w:t xml:space="preserve"> הוא </w:t>
      </w:r>
      <w:r w:rsidR="009B435C" w:rsidRPr="00EB09A6">
        <w:rPr>
          <w:rFonts w:ascii="David" w:eastAsia="Calibri" w:hAnsi="David" w:hint="cs"/>
          <w:noProof w:val="0"/>
          <w:rtl/>
        </w:rPr>
        <w:t>ש</w:t>
      </w:r>
      <w:r w:rsidRPr="00EB09A6">
        <w:rPr>
          <w:rFonts w:ascii="David" w:eastAsia="Calibri" w:hAnsi="David"/>
          <w:noProof w:val="0"/>
          <w:rtl/>
        </w:rPr>
        <w:t xml:space="preserve">עו"ד </w:t>
      </w:r>
      <w:r w:rsidR="002B08A8" w:rsidRPr="00EB09A6">
        <w:rPr>
          <w:rFonts w:ascii="David" w:eastAsia="Calibri" w:hAnsi="David"/>
          <w:noProof w:val="0"/>
          <w:rtl/>
        </w:rPr>
        <w:t>א'</w:t>
      </w:r>
      <w:r w:rsidRPr="00DD37D8">
        <w:rPr>
          <w:rFonts w:ascii="David" w:eastAsia="Calibri" w:hAnsi="David"/>
          <w:noProof w:val="0"/>
          <w:rtl/>
        </w:rPr>
        <w:t xml:space="preserve"> </w:t>
      </w:r>
      <w:r w:rsidR="009B435C">
        <w:rPr>
          <w:rFonts w:ascii="David" w:eastAsia="Calibri" w:hAnsi="David" w:hint="cs"/>
          <w:noProof w:val="0"/>
          <w:rtl/>
        </w:rPr>
        <w:t xml:space="preserve">נדרש </w:t>
      </w:r>
      <w:r w:rsidRPr="00DD37D8">
        <w:rPr>
          <w:rFonts w:ascii="David" w:eastAsia="Calibri" w:hAnsi="David"/>
          <w:noProof w:val="0"/>
          <w:rtl/>
        </w:rPr>
        <w:t xml:space="preserve">להעיד בדיון הקרוב על נסיבות עריכת ייפוי הכוח המתמשך, כאשר לעניין זה לא תעמוד לו טענה בדבר חיסיון עו"ד-לקוח, </w:t>
      </w:r>
      <w:r w:rsidR="00572557">
        <w:rPr>
          <w:rFonts w:ascii="David" w:eastAsia="Calibri" w:hAnsi="David" w:hint="cs"/>
          <w:noProof w:val="0"/>
          <w:rtl/>
        </w:rPr>
        <w:t xml:space="preserve">אשר אין לו </w:t>
      </w:r>
      <w:r w:rsidR="00AC0933">
        <w:rPr>
          <w:rFonts w:ascii="David" w:eastAsia="Calibri" w:hAnsi="David" w:hint="cs"/>
          <w:noProof w:val="0"/>
          <w:rtl/>
        </w:rPr>
        <w:t xml:space="preserve">רלוונטיות לעניין ייפוי הכח המתמשך, </w:t>
      </w:r>
      <w:r w:rsidR="00572557">
        <w:rPr>
          <w:rFonts w:ascii="David" w:eastAsia="Calibri" w:hAnsi="David" w:hint="cs"/>
          <w:noProof w:val="0"/>
          <w:rtl/>
        </w:rPr>
        <w:t xml:space="preserve">ולחילופין יש להורות </w:t>
      </w:r>
      <w:r w:rsidR="00572557" w:rsidRPr="008A3AFC">
        <w:rPr>
          <w:rFonts w:ascii="David" w:eastAsia="Calibri" w:hAnsi="David" w:hint="cs"/>
          <w:noProof w:val="0"/>
          <w:rtl/>
        </w:rPr>
        <w:t xml:space="preserve">על צמצומו כחסיון יחסי הנסוג מפני טובתה של הגב' </w:t>
      </w:r>
      <w:r w:rsidR="00775F80">
        <w:rPr>
          <w:rFonts w:ascii="David" w:eastAsia="Calibri" w:hAnsi="David" w:hint="cs"/>
          <w:noProof w:val="0"/>
          <w:rtl/>
        </w:rPr>
        <w:t>ל'</w:t>
      </w:r>
      <w:r w:rsidR="00572557">
        <w:rPr>
          <w:rFonts w:ascii="David" w:eastAsia="Calibri" w:hAnsi="David" w:hint="cs"/>
          <w:noProof w:val="0"/>
          <w:rtl/>
        </w:rPr>
        <w:t>, ומכל מקום, בעניינו,</w:t>
      </w:r>
      <w:r w:rsidR="00AC0933">
        <w:rPr>
          <w:rFonts w:ascii="David" w:eastAsia="Calibri" w:hAnsi="David" w:hint="cs"/>
          <w:noProof w:val="0"/>
          <w:rtl/>
        </w:rPr>
        <w:t xml:space="preserve"> </w:t>
      </w:r>
      <w:r w:rsidRPr="008A3AFC">
        <w:rPr>
          <w:rFonts w:ascii="David" w:eastAsia="Calibri" w:hAnsi="David"/>
          <w:noProof w:val="0"/>
          <w:rtl/>
        </w:rPr>
        <w:t>אף לו הייתה תחולה לחיסיון,</w:t>
      </w:r>
      <w:r w:rsidR="00572557">
        <w:rPr>
          <w:rFonts w:ascii="David" w:eastAsia="Calibri" w:hAnsi="David" w:hint="cs"/>
          <w:noProof w:val="0"/>
          <w:rtl/>
        </w:rPr>
        <w:t xml:space="preserve"> </w:t>
      </w:r>
      <w:r w:rsidRPr="008A3AFC">
        <w:rPr>
          <w:rFonts w:ascii="David" w:eastAsia="Calibri" w:hAnsi="David"/>
          <w:noProof w:val="0"/>
          <w:rtl/>
        </w:rPr>
        <w:t xml:space="preserve">יש להורות על </w:t>
      </w:r>
      <w:r w:rsidR="00DA77CC" w:rsidRPr="008A3AFC">
        <w:rPr>
          <w:rFonts w:ascii="David" w:eastAsia="Calibri" w:hAnsi="David"/>
          <w:noProof w:val="0"/>
          <w:rtl/>
        </w:rPr>
        <w:t xml:space="preserve">הסרתו מפאת ויתורה של הגב' </w:t>
      </w:r>
      <w:r w:rsidR="00775F80">
        <w:rPr>
          <w:rFonts w:ascii="David" w:eastAsia="Calibri" w:hAnsi="David" w:hint="cs"/>
          <w:noProof w:val="0"/>
          <w:rtl/>
        </w:rPr>
        <w:t>ל'</w:t>
      </w:r>
      <w:r w:rsidR="00DA77CC" w:rsidRPr="008A3AFC">
        <w:rPr>
          <w:rFonts w:ascii="David" w:eastAsia="Calibri" w:hAnsi="David"/>
          <w:noProof w:val="0"/>
          <w:rtl/>
        </w:rPr>
        <w:t xml:space="preserve"> עליו, באמצעות האפוטרופוס הזמני שמונה לה וכאמור, בא בנעליה לעניין זה</w:t>
      </w:r>
      <w:r w:rsidR="00572557">
        <w:rPr>
          <w:rFonts w:ascii="David" w:eastAsia="Calibri" w:hAnsi="David" w:hint="cs"/>
          <w:noProof w:val="0"/>
          <w:rtl/>
        </w:rPr>
        <w:t>.</w:t>
      </w:r>
    </w:p>
    <w:p w:rsidR="00DD37D8" w:rsidRPr="00DD37D8" w:rsidRDefault="00DD37D8" w:rsidP="00DD37D8">
      <w:pPr>
        <w:spacing w:line="360" w:lineRule="auto"/>
        <w:jc w:val="both"/>
        <w:rPr>
          <w:rFonts w:ascii="David" w:eastAsia="Calibri" w:hAnsi="David"/>
          <w:noProof w:val="0"/>
        </w:rPr>
      </w:pPr>
    </w:p>
    <w:p w:rsidR="00DD37D8" w:rsidRPr="00DD37D8" w:rsidRDefault="00A51FDF" w:rsidP="00DD37D8">
      <w:pPr>
        <w:numPr>
          <w:ilvl w:val="0"/>
          <w:numId w:val="1"/>
        </w:numPr>
        <w:spacing w:after="160" w:line="360" w:lineRule="auto"/>
        <w:contextualSpacing/>
        <w:jc w:val="both"/>
        <w:rPr>
          <w:rFonts w:ascii="David" w:eastAsia="Calibri" w:hAnsi="David"/>
          <w:b/>
          <w:bCs/>
          <w:noProof w:val="0"/>
          <w:rtl/>
        </w:rPr>
      </w:pPr>
      <w:r>
        <w:rPr>
          <w:rFonts w:ascii="David" w:eastAsia="Calibri" w:hAnsi="David" w:hint="cs"/>
          <w:b/>
          <w:bCs/>
          <w:noProof w:val="0"/>
          <w:rtl/>
        </w:rPr>
        <w:t>ההחלטה הותרה לפרסום בהשמטת פרטים מזהים</w:t>
      </w:r>
      <w:r w:rsidR="00DD37D8" w:rsidRPr="00DD37D8">
        <w:rPr>
          <w:rFonts w:ascii="David" w:eastAsia="Calibri" w:hAnsi="David"/>
          <w:b/>
          <w:bCs/>
          <w:noProof w:val="0"/>
          <w:rtl/>
        </w:rPr>
        <w:t>.</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כ"ט אייר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06 יוני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215554281"/>
        </w:sdtPr>
        <w:sdtEndPr/>
        <w:sdtContent>
          <w:r w:rsidR="00775F80">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EE6" w:rsidRDefault="00527EE6">
      <w:r>
        <w:separator/>
      </w:r>
    </w:p>
  </w:endnote>
  <w:endnote w:type="continuationSeparator" w:id="0">
    <w:p w:rsidR="00527EE6" w:rsidRDefault="0052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43" w:rsidRDefault="00D44C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44C4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44C43">
      <w:rPr>
        <w:rStyle w:val="ab"/>
        <w:rtl/>
      </w:rPr>
      <w:t>14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43" w:rsidRDefault="00D44C4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EE6" w:rsidRDefault="00527EE6">
      <w:r>
        <w:separator/>
      </w:r>
    </w:p>
  </w:footnote>
  <w:footnote w:type="continuationSeparator" w:id="0">
    <w:p w:rsidR="00527EE6" w:rsidRDefault="0052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43" w:rsidRDefault="00D44C4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5"/>
      <w:gridCol w:w="3590"/>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06 יוני 2024</w:t>
              </w:r>
            </w:p>
          </w:tc>
        </w:sdtContent>
      </w:sdt>
    </w:tr>
    <w:tr w:rsidR="002914D6">
      <w:trPr>
        <w:trHeight w:val="337"/>
        <w:jc w:val="center"/>
      </w:trPr>
      <w:tc>
        <w:tcPr>
          <w:tcW w:w="8721" w:type="dxa"/>
          <w:gridSpan w:val="2"/>
        </w:tcPr>
        <w:p w:rsidR="002914D6" w:rsidRDefault="00527EE6" w:rsidP="00775F80">
          <w:pPr>
            <w:rPr>
              <w:b/>
              <w:bCs/>
              <w:noProof w:val="0"/>
              <w:sz w:val="26"/>
              <w:szCs w:val="26"/>
              <w:rtl/>
            </w:rPr>
          </w:pPr>
          <w:sdt>
            <w:sdtPr>
              <w:rPr>
                <w:rtl/>
              </w:rPr>
              <w:alias w:val="1170"/>
              <w:tag w:val="1170"/>
              <w:id w:val="632838173"/>
              <w:text w:multiLine="1"/>
            </w:sdtPr>
            <w:sdtEndPr/>
            <w:sdtContent>
              <w:r w:rsidR="00CC29C2">
                <w:rPr>
                  <w:b/>
                  <w:bCs/>
                  <w:noProof w:val="0"/>
                  <w:sz w:val="26"/>
                  <w:szCs w:val="26"/>
                  <w:rtl/>
                </w:rPr>
                <w:t>א"פ</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64801-11-22</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775F80">
                <w:rPr>
                  <w:rFonts w:hint="cs"/>
                  <w:b/>
                  <w:bCs/>
                  <w:noProof w:val="0"/>
                  <w:sz w:val="26"/>
                  <w:szCs w:val="26"/>
                  <w:rtl/>
                </w:rPr>
                <w:t>ל'</w:t>
              </w:r>
              <w:r w:rsidR="00CC29C2">
                <w:rPr>
                  <w:b/>
                  <w:bCs/>
                  <w:noProof w:val="0"/>
                  <w:sz w:val="26"/>
                  <w:szCs w:val="26"/>
                  <w:rtl/>
                </w:rPr>
                <w:t xml:space="preserve"> ואח' נ' האפוטרופוס הכללי במחוז ירושלים ואח'</w:t>
              </w:r>
            </w:sdtContent>
          </w:sdt>
        </w:p>
        <w:p w:rsidR="002914D6" w:rsidRDefault="002914D6">
          <w:pPr>
            <w:rPr>
              <w:rtl/>
            </w:rPr>
          </w:pPr>
        </w:p>
        <w:p w:rsidR="00966315" w:rsidRDefault="00966315">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43" w:rsidRDefault="00D44C4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06223"/>
    <w:multiLevelType w:val="hybridMultilevel"/>
    <w:tmpl w:val="B2C8474A"/>
    <w:lvl w:ilvl="0" w:tplc="5770FFC4">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616438"/>
    <w:multiLevelType w:val="hybridMultilevel"/>
    <w:tmpl w:val="1E7E18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841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84144&amp;lt;/CaseID&amp;gt;_x000d__x000a_        &amp;lt;CaseMonth&amp;gt;11&amp;lt;/CaseMonth&amp;gt;_x000d__x000a_        &amp;lt;CaseYear&amp;gt;2022&amp;lt;/CaseYear&amp;gt;_x000d__x000a_        &amp;lt;CaseNumber&amp;gt;64801&amp;lt;/CaseNumber&amp;gt;_x000d__x000a_        &amp;lt;NumeratorGroupID&amp;gt;1&amp;lt;/NumeratorGroupID&amp;gt;_x000d__x000a_        &amp;lt;CaseName&amp;gt;לוי ואח&amp;#39; נ&amp;#39; האפוטרופוס הכללי במחוז ירושלים ואח&amp;#39;&amp;lt;/CaseName&amp;gt;_x000d__x000a_        &amp;lt;CourtID&amp;gt;30&amp;lt;/CourtID&amp;gt;_x000d__x000a_        &amp;lt;CaseTypeID&amp;gt;10045&amp;lt;/CaseTypeID&amp;gt;_x000d__x000a_        &amp;lt;CaseInterestID&amp;gt;10606&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801-11-22&amp;lt;/CaseDisplayIdentifier&amp;gt;_x000d__x000a_        &amp;lt;CaseTypeDesc&amp;gt;א&amp;quot;פ&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1-29T09:18:00+02:00&amp;lt;/CaseOpenDate&amp;gt;_x000d__x000a_        &amp;lt;PleaTypeID&amp;gt;5&amp;lt;/PleaTypeID&amp;gt;_x000d__x000a_        &amp;lt;CourtLevelID&amp;gt;1&amp;lt;/CourtLevelID&amp;gt;_x000d__x000a_        &amp;lt;CourtLevelCaseTypeInterestID&amp;gt;1923&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14.04.24 - הוגש עותק כרוך של תצהירי עדות ראשית מטעם המבקשים 1-2  - אסת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84144&amp;lt;/CaseID&amp;gt;_x000d__x000a_        &amp;lt;CaseMonth&amp;gt;11&amp;lt;/CaseMonth&amp;gt;_x000d__x000a_        &amp;lt;CaseYear&amp;gt;2022&amp;lt;/CaseYear&amp;gt;_x000d__x000a_        &amp;lt;CaseNumber&amp;gt;64801&amp;lt;/CaseNumber&amp;gt;_x000d__x000a_        &amp;lt;NumeratorGroupID&amp;gt;1&amp;lt;/NumeratorGroupID&amp;gt;_x000d__x000a_        &amp;lt;CaseName&amp;gt;לוי ואח&amp;#39; נ&amp;#39; האפוטרופוס הכללי במחוז ירושלים ואח&amp;#39;&amp;lt;/CaseName&amp;gt;_x000d__x000a_        &amp;lt;CourtID&amp;gt;30&amp;lt;/CourtID&amp;gt;_x000d__x000a_        &amp;lt;CaseTypeID&amp;gt;10045&amp;lt;/CaseTypeID&amp;gt;_x000d__x000a_        &amp;lt;CaseInterestID&amp;gt;10606&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801-11-22&amp;lt;/CaseDisplayIdentifier&amp;gt;_x000d__x000a_        &amp;lt;CaseTypeDesc&amp;gt;א&amp;quot;פ&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2-11-29T09:18:00+02:00&amp;lt;/CaseOpenDate&amp;gt;_x000d__x000a_        &amp;lt;PleaTypeID&amp;gt;5&amp;lt;/PleaTypeID&amp;gt;_x000d__x000a_        &amp;lt;CourtLevelID&amp;gt;1&amp;lt;/CourtLevelID&amp;gt;_x000d__x000a_        &amp;lt;CourtLevelCaseTypeInterestID&amp;gt;1923&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14.04.24 - הוגש עותק כרוך של תצהירי עדות ראשית מטעם המבקשים 1-2  - אסת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83331&amp;lt;/DecisionID&amp;gt;_x000d__x000a_        &amp;lt;DecisionName&amp;gt;החלטה  שניתנה ע&amp;quot;י  הילה גלבוע&amp;lt;/DecisionName&amp;gt;_x000d__x000a_        &amp;lt;DecisionStatusID&amp;gt;1&amp;lt;/DecisionStatusID&amp;gt;_x000d__x000a_        &amp;lt;DecisionStatusChangeDate&amp;gt;2024-06-06T20:14:15.07+03:00&amp;lt;/DecisionStatusChangeDate&amp;gt;_x000d__x000a_        &amp;lt;DecisionSignatureDate&amp;gt;2024-06-05T11:57:30.477+03:00&amp;lt;/DecisionSignatureDate&amp;gt;_x000d__x000a_        &amp;lt;DecisionSignatureUserID&amp;gt;033663675@GOV.IL&amp;lt;/DecisionSignatureUserID&amp;gt;_x000d__x000a_        &amp;lt;DecisionCreateDate&amp;gt;2024-06-05T11:37:46.053+03:00&amp;lt;/DecisionCreateDate&amp;gt;_x000d__x000a_        &amp;lt;DecisionChangeDate&amp;gt;2024-06-06T20:14:15.25+03:00&amp;lt;/DecisionChangeDate&amp;gt;_x000d__x000a_        &amp;lt;DecisionChangeUserID&amp;gt;0336636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1008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62416@GOV.IL&amp;lt;/DecisionCreationUserID&amp;gt;_x000d__x000a_        &amp;lt;DecisionDisplayName&amp;gt;החלטה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3&amp;lt;/DecisionNumberInCase&amp;gt;_x000d__x000a_      &amp;lt;/dt_Decision&amp;gt;_x000d__x000a_      &amp;lt;dt_DecisionCase diffgr:id=&amp;quot;dt_DecisionCase1&amp;quot; msdata:rowOrder=&amp;quot;0&amp;quot;&amp;gt;_x000d__x000a_        &amp;lt;DecisionID&amp;gt;152083331&amp;lt;/DecisionID&amp;gt;_x000d__x000a_        &amp;lt;CaseID&amp;gt;79784144&amp;lt;/CaseID&amp;gt;_x000d__x000a_        &amp;lt;IsOriginal&amp;gt;true&amp;lt;/IsOriginal&amp;gt;_x000d__x000a_        &amp;lt;IsDeleted&amp;gt;false&amp;lt;/IsDeleted&amp;gt;_x000d__x000a_        &amp;lt;CaseName&amp;gt;לוי ואח&amp;#39; נ&amp;#39; האפוטרופוס הכללי במחוז ירושלים ואח&amp;#39;&amp;lt;/CaseName&amp;gt;_x000d__x000a_        &amp;lt;CaseDisplayIdentifier&amp;gt;64801-11-22 א&amp;quot;פ&amp;lt;/CaseDisplayIdentifier&amp;gt;_x000d__x000a_      &amp;lt;/dt_DecisionCase&amp;gt;_x000d__x000a_    &amp;lt;/DecisionDS&amp;gt;_x000d__x000a_  &amp;lt;/diffgr:diffgram&amp;gt;_x000d__x000a_&amp;lt;/DecisionDS&amp;gt;"/>
    <w:docVar w:name="DecisionID" w:val="152083331"/>
    <w:docVar w:name="WordClientAssemblyName" w:val="NGCS.Decision.ClientWordBL"/>
    <w:docVar w:name="WordClientClassName" w:val="NGCS.Decision.ClientWordBL.DecisionClient"/>
  </w:docVars>
  <w:rsids>
    <w:rsidRoot w:val="002914D6"/>
    <w:rsid w:val="00011212"/>
    <w:rsid w:val="00036765"/>
    <w:rsid w:val="000453A1"/>
    <w:rsid w:val="000821B0"/>
    <w:rsid w:val="000B4395"/>
    <w:rsid w:val="00130832"/>
    <w:rsid w:val="0014058F"/>
    <w:rsid w:val="00180219"/>
    <w:rsid w:val="0019449B"/>
    <w:rsid w:val="0019474B"/>
    <w:rsid w:val="001B35D9"/>
    <w:rsid w:val="001C5AB1"/>
    <w:rsid w:val="001F519E"/>
    <w:rsid w:val="0020326A"/>
    <w:rsid w:val="002038EF"/>
    <w:rsid w:val="00235173"/>
    <w:rsid w:val="00240764"/>
    <w:rsid w:val="00264759"/>
    <w:rsid w:val="00273D47"/>
    <w:rsid w:val="002856D3"/>
    <w:rsid w:val="0028745E"/>
    <w:rsid w:val="002914D6"/>
    <w:rsid w:val="00296D9C"/>
    <w:rsid w:val="002A703F"/>
    <w:rsid w:val="002B08A8"/>
    <w:rsid w:val="002C323F"/>
    <w:rsid w:val="002E432D"/>
    <w:rsid w:val="002F5307"/>
    <w:rsid w:val="0034026C"/>
    <w:rsid w:val="003717E2"/>
    <w:rsid w:val="00371BB6"/>
    <w:rsid w:val="003A0652"/>
    <w:rsid w:val="003B3743"/>
    <w:rsid w:val="0040405D"/>
    <w:rsid w:val="00416309"/>
    <w:rsid w:val="00424190"/>
    <w:rsid w:val="00441F1B"/>
    <w:rsid w:val="00444CD0"/>
    <w:rsid w:val="00457FE7"/>
    <w:rsid w:val="00483067"/>
    <w:rsid w:val="004F4787"/>
    <w:rsid w:val="00500250"/>
    <w:rsid w:val="00510ABC"/>
    <w:rsid w:val="00510B59"/>
    <w:rsid w:val="00527EE6"/>
    <w:rsid w:val="00530E94"/>
    <w:rsid w:val="0053726B"/>
    <w:rsid w:val="005547D9"/>
    <w:rsid w:val="00572557"/>
    <w:rsid w:val="00572CFA"/>
    <w:rsid w:val="00595AF3"/>
    <w:rsid w:val="005A6F8A"/>
    <w:rsid w:val="005B4D43"/>
    <w:rsid w:val="005D0FC2"/>
    <w:rsid w:val="005E2920"/>
    <w:rsid w:val="005E66BB"/>
    <w:rsid w:val="00611BD0"/>
    <w:rsid w:val="006154AC"/>
    <w:rsid w:val="006204D9"/>
    <w:rsid w:val="006212AD"/>
    <w:rsid w:val="006308DC"/>
    <w:rsid w:val="00631AF2"/>
    <w:rsid w:val="006344E8"/>
    <w:rsid w:val="00641BE8"/>
    <w:rsid w:val="00697710"/>
    <w:rsid w:val="006C31C6"/>
    <w:rsid w:val="006E47A5"/>
    <w:rsid w:val="006E76EC"/>
    <w:rsid w:val="007042AB"/>
    <w:rsid w:val="00716F01"/>
    <w:rsid w:val="00717B1C"/>
    <w:rsid w:val="007263ED"/>
    <w:rsid w:val="00734FFB"/>
    <w:rsid w:val="00775F80"/>
    <w:rsid w:val="00787007"/>
    <w:rsid w:val="007B0C2F"/>
    <w:rsid w:val="007B2DA0"/>
    <w:rsid w:val="007C6494"/>
    <w:rsid w:val="00822AA5"/>
    <w:rsid w:val="00872F43"/>
    <w:rsid w:val="00887E1D"/>
    <w:rsid w:val="008A3AFC"/>
    <w:rsid w:val="008A6092"/>
    <w:rsid w:val="008D2B64"/>
    <w:rsid w:val="008F11D6"/>
    <w:rsid w:val="00904EA5"/>
    <w:rsid w:val="00904FA7"/>
    <w:rsid w:val="00912482"/>
    <w:rsid w:val="0091776A"/>
    <w:rsid w:val="00921E03"/>
    <w:rsid w:val="00961A24"/>
    <w:rsid w:val="00963B1F"/>
    <w:rsid w:val="00966315"/>
    <w:rsid w:val="009A04C9"/>
    <w:rsid w:val="009B435C"/>
    <w:rsid w:val="009B63EC"/>
    <w:rsid w:val="009D1711"/>
    <w:rsid w:val="009E377A"/>
    <w:rsid w:val="00A06DB6"/>
    <w:rsid w:val="00A22250"/>
    <w:rsid w:val="00A3383B"/>
    <w:rsid w:val="00A40E3B"/>
    <w:rsid w:val="00A51FDF"/>
    <w:rsid w:val="00A670EC"/>
    <w:rsid w:val="00A7661B"/>
    <w:rsid w:val="00AA3EDB"/>
    <w:rsid w:val="00AC0933"/>
    <w:rsid w:val="00AC3440"/>
    <w:rsid w:val="00AE329D"/>
    <w:rsid w:val="00B234CE"/>
    <w:rsid w:val="00B237A1"/>
    <w:rsid w:val="00B31305"/>
    <w:rsid w:val="00B716DC"/>
    <w:rsid w:val="00B75855"/>
    <w:rsid w:val="00BB360D"/>
    <w:rsid w:val="00BF24BD"/>
    <w:rsid w:val="00C60C23"/>
    <w:rsid w:val="00CA14F1"/>
    <w:rsid w:val="00CB5849"/>
    <w:rsid w:val="00CC29C2"/>
    <w:rsid w:val="00CE7F78"/>
    <w:rsid w:val="00CF0430"/>
    <w:rsid w:val="00CF408A"/>
    <w:rsid w:val="00D24006"/>
    <w:rsid w:val="00D44C43"/>
    <w:rsid w:val="00D56DB4"/>
    <w:rsid w:val="00D95766"/>
    <w:rsid w:val="00DA0D86"/>
    <w:rsid w:val="00DA714E"/>
    <w:rsid w:val="00DA77CC"/>
    <w:rsid w:val="00DD37D8"/>
    <w:rsid w:val="00DD3D46"/>
    <w:rsid w:val="00DE1AB5"/>
    <w:rsid w:val="00DE5F0A"/>
    <w:rsid w:val="00E02608"/>
    <w:rsid w:val="00E72C9F"/>
    <w:rsid w:val="00EB09A6"/>
    <w:rsid w:val="00EC118E"/>
    <w:rsid w:val="00EF1C2E"/>
    <w:rsid w:val="00EF6F99"/>
    <w:rsid w:val="00F04E2B"/>
    <w:rsid w:val="00F2112D"/>
    <w:rsid w:val="00F25B1C"/>
    <w:rsid w:val="00F50E07"/>
    <w:rsid w:val="00F65365"/>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2A70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49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nevo.co.il/psika_html/mishpaha/SM-17-04-35186-22.htm"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26355B8FC143C4AE034FC61652350B"/>
        <w:category>
          <w:name w:val="כללי"/>
          <w:gallery w:val="placeholder"/>
        </w:category>
        <w:types>
          <w:type w:val="bbPlcHdr"/>
        </w:types>
        <w:behaviors>
          <w:behavior w:val="content"/>
        </w:behaviors>
        <w:guid w:val="{36F87A47-1E09-4EA3-BF92-B988A1388D2B}"/>
      </w:docPartPr>
      <w:docPartBody>
        <w:p w:rsidR="0082414A" w:rsidRDefault="00C477B2" w:rsidP="00C477B2">
          <w:pPr>
            <w:pStyle w:val="D226355B8FC143C4AE034FC61652350B2"/>
          </w:pPr>
          <w:r>
            <w:rPr>
              <w:rFonts w:hint="cs"/>
              <w:b/>
              <w:bCs/>
              <w:sz w:val="26"/>
              <w:szCs w:val="26"/>
              <w:rtl/>
            </w:rPr>
            <w:t>סוג בעניין</w:t>
          </w:r>
        </w:p>
      </w:docPartBody>
    </w:docPart>
    <w:docPart>
      <w:docPartPr>
        <w:name w:val="D2C72CE347744E45986B915AB65134DF"/>
        <w:category>
          <w:name w:val="כללי"/>
          <w:gallery w:val="placeholder"/>
        </w:category>
        <w:types>
          <w:type w:val="bbPlcHdr"/>
        </w:types>
        <w:behaviors>
          <w:behavior w:val="content"/>
        </w:behaviors>
        <w:guid w:val="{43FE56EA-C849-4CD8-B9F4-812AEDEA577D}"/>
      </w:docPartPr>
      <w:docPartBody>
        <w:p w:rsidR="0082414A" w:rsidRDefault="00C477B2" w:rsidP="00C477B2">
          <w:pPr>
            <w:pStyle w:val="D2C72CE347744E45986B915AB65134DF2"/>
          </w:pPr>
          <w:r>
            <w:rPr>
              <w:rFonts w:hint="cs"/>
              <w:b/>
              <w:bCs/>
              <w:sz w:val="26"/>
              <w:szCs w:val="26"/>
              <w:rtl/>
            </w:rPr>
            <w:t>בעניין שם פרטי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22"/>
    <w:rsid w:val="002702EC"/>
    <w:rsid w:val="007C3322"/>
    <w:rsid w:val="0082414A"/>
    <w:rsid w:val="00C477B2"/>
    <w:rsid w:val="00F12F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77B2"/>
    <w:rPr>
      <w:color w:val="808080"/>
    </w:rPr>
  </w:style>
  <w:style w:type="paragraph" w:customStyle="1" w:styleId="C94C99B5324448E4BC15A427D7E8442A">
    <w:name w:val="C94C99B5324448E4BC15A427D7E8442A"/>
    <w:rsid w:val="002702EC"/>
    <w:pPr>
      <w:bidi/>
      <w:spacing w:after="160" w:line="259" w:lineRule="auto"/>
    </w:pPr>
  </w:style>
  <w:style w:type="paragraph" w:customStyle="1" w:styleId="D226355B8FC143C4AE034FC61652350B">
    <w:name w:val="D226355B8FC143C4AE034FC61652350B"/>
    <w:rsid w:val="002702EC"/>
    <w:pPr>
      <w:bidi/>
      <w:spacing w:after="160" w:line="259" w:lineRule="auto"/>
    </w:pPr>
  </w:style>
  <w:style w:type="paragraph" w:customStyle="1" w:styleId="D2C72CE347744E45986B915AB65134DF">
    <w:name w:val="D2C72CE347744E45986B915AB65134DF"/>
    <w:rsid w:val="002702EC"/>
    <w:pPr>
      <w:bidi/>
      <w:spacing w:after="160" w:line="259" w:lineRule="auto"/>
    </w:pPr>
  </w:style>
  <w:style w:type="paragraph" w:customStyle="1" w:styleId="18E585568A3F4A16B6628F264767B915">
    <w:name w:val="18E585568A3F4A16B6628F264767B915"/>
    <w:rsid w:val="002702EC"/>
    <w:pPr>
      <w:bidi/>
      <w:spacing w:after="160" w:line="259" w:lineRule="auto"/>
    </w:pPr>
  </w:style>
  <w:style w:type="paragraph" w:customStyle="1" w:styleId="FC476BAFB4E74E7494F998D3C55775DF">
    <w:name w:val="FC476BAFB4E74E7494F998D3C55775DF"/>
    <w:rsid w:val="002702EC"/>
    <w:pPr>
      <w:bidi/>
      <w:spacing w:after="160" w:line="259" w:lineRule="auto"/>
    </w:pPr>
  </w:style>
  <w:style w:type="paragraph" w:customStyle="1" w:styleId="CA4CDE27E80742C8BD71EFFBE88F6CE8">
    <w:name w:val="CA4CDE27E80742C8BD71EFFBE88F6CE8"/>
    <w:rsid w:val="002702EC"/>
    <w:pPr>
      <w:bidi/>
      <w:spacing w:after="160" w:line="259" w:lineRule="auto"/>
    </w:pPr>
  </w:style>
  <w:style w:type="paragraph" w:customStyle="1" w:styleId="D226355B8FC143C4AE034FC61652350B1">
    <w:name w:val="D226355B8FC143C4AE034FC61652350B1"/>
    <w:rsid w:val="002702EC"/>
    <w:pPr>
      <w:bidi/>
      <w:spacing w:after="0" w:line="240" w:lineRule="auto"/>
    </w:pPr>
    <w:rPr>
      <w:rFonts w:ascii="Times New Roman" w:eastAsia="Times New Roman" w:hAnsi="Times New Roman" w:cs="David"/>
      <w:noProof/>
      <w:sz w:val="24"/>
      <w:szCs w:val="24"/>
    </w:rPr>
  </w:style>
  <w:style w:type="paragraph" w:customStyle="1" w:styleId="D2C72CE347744E45986B915AB65134DF1">
    <w:name w:val="D2C72CE347744E45986B915AB65134DF1"/>
    <w:rsid w:val="002702EC"/>
    <w:pPr>
      <w:bidi/>
      <w:spacing w:after="0" w:line="240" w:lineRule="auto"/>
    </w:pPr>
    <w:rPr>
      <w:rFonts w:ascii="Times New Roman" w:eastAsia="Times New Roman" w:hAnsi="Times New Roman" w:cs="David"/>
      <w:noProof/>
      <w:sz w:val="24"/>
      <w:szCs w:val="24"/>
    </w:rPr>
  </w:style>
  <w:style w:type="paragraph" w:customStyle="1" w:styleId="18E585568A3F4A16B6628F264767B9151">
    <w:name w:val="18E585568A3F4A16B6628F264767B9151"/>
    <w:rsid w:val="002702EC"/>
    <w:pPr>
      <w:bidi/>
      <w:spacing w:after="0" w:line="240" w:lineRule="auto"/>
    </w:pPr>
    <w:rPr>
      <w:rFonts w:ascii="Times New Roman" w:eastAsia="Times New Roman" w:hAnsi="Times New Roman" w:cs="David"/>
      <w:noProof/>
      <w:sz w:val="24"/>
      <w:szCs w:val="24"/>
    </w:rPr>
  </w:style>
  <w:style w:type="paragraph" w:customStyle="1" w:styleId="FC476BAFB4E74E7494F998D3C55775DF1">
    <w:name w:val="FC476BAFB4E74E7494F998D3C55775DF1"/>
    <w:rsid w:val="002702EC"/>
    <w:pPr>
      <w:bidi/>
      <w:spacing w:after="0" w:line="240" w:lineRule="auto"/>
    </w:pPr>
    <w:rPr>
      <w:rFonts w:ascii="Times New Roman" w:eastAsia="Times New Roman" w:hAnsi="Times New Roman" w:cs="David"/>
      <w:noProof/>
      <w:sz w:val="24"/>
      <w:szCs w:val="24"/>
    </w:rPr>
  </w:style>
  <w:style w:type="paragraph" w:customStyle="1" w:styleId="CA4CDE27E80742C8BD71EFFBE88F6CE81">
    <w:name w:val="CA4CDE27E80742C8BD71EFFBE88F6CE81"/>
    <w:rsid w:val="002702EC"/>
    <w:pPr>
      <w:bidi/>
      <w:spacing w:after="0" w:line="240" w:lineRule="auto"/>
    </w:pPr>
    <w:rPr>
      <w:rFonts w:ascii="Times New Roman" w:eastAsia="Times New Roman" w:hAnsi="Times New Roman" w:cs="David"/>
      <w:noProof/>
      <w:sz w:val="24"/>
      <w:szCs w:val="24"/>
    </w:rPr>
  </w:style>
  <w:style w:type="paragraph" w:customStyle="1" w:styleId="D226355B8FC143C4AE034FC61652350B2">
    <w:name w:val="D226355B8FC143C4AE034FC61652350B2"/>
    <w:rsid w:val="00C477B2"/>
    <w:pPr>
      <w:bidi/>
      <w:spacing w:after="0" w:line="240" w:lineRule="auto"/>
    </w:pPr>
    <w:rPr>
      <w:rFonts w:ascii="Times New Roman" w:eastAsia="Times New Roman" w:hAnsi="Times New Roman" w:cs="David"/>
      <w:noProof/>
      <w:sz w:val="24"/>
      <w:szCs w:val="24"/>
    </w:rPr>
  </w:style>
  <w:style w:type="paragraph" w:customStyle="1" w:styleId="D2C72CE347744E45986B915AB65134DF2">
    <w:name w:val="D2C72CE347744E45986B915AB65134DF2"/>
    <w:rsid w:val="00C477B2"/>
    <w:pPr>
      <w:bidi/>
      <w:spacing w:after="0" w:line="240" w:lineRule="auto"/>
    </w:pPr>
    <w:rPr>
      <w:rFonts w:ascii="Times New Roman" w:eastAsia="Times New Roman" w:hAnsi="Times New Roman" w:cs="David"/>
      <w:noProof/>
      <w:sz w:val="24"/>
      <w:szCs w:val="24"/>
    </w:rPr>
  </w:style>
  <w:style w:type="paragraph" w:customStyle="1" w:styleId="18E585568A3F4A16B6628F264767B9152">
    <w:name w:val="18E585568A3F4A16B6628F264767B9152"/>
    <w:rsid w:val="00C477B2"/>
    <w:pPr>
      <w:bidi/>
      <w:spacing w:after="0" w:line="240" w:lineRule="auto"/>
    </w:pPr>
    <w:rPr>
      <w:rFonts w:ascii="Times New Roman" w:eastAsia="Times New Roman" w:hAnsi="Times New Roman" w:cs="David"/>
      <w:noProof/>
      <w:sz w:val="24"/>
      <w:szCs w:val="24"/>
    </w:rPr>
  </w:style>
  <w:style w:type="paragraph" w:customStyle="1" w:styleId="FC476BAFB4E74E7494F998D3C55775DF2">
    <w:name w:val="FC476BAFB4E74E7494F998D3C55775DF2"/>
    <w:rsid w:val="00C477B2"/>
    <w:pPr>
      <w:bidi/>
      <w:spacing w:after="0" w:line="240" w:lineRule="auto"/>
    </w:pPr>
    <w:rPr>
      <w:rFonts w:ascii="Times New Roman" w:eastAsia="Times New Roman" w:hAnsi="Times New Roman" w:cs="David"/>
      <w:noProof/>
      <w:sz w:val="24"/>
      <w:szCs w:val="24"/>
    </w:rPr>
  </w:style>
  <w:style w:type="paragraph" w:customStyle="1" w:styleId="0A9EDF8C5C6D41F7828DC3A87770D3B2">
    <w:name w:val="0A9EDF8C5C6D41F7828DC3A87770D3B2"/>
    <w:rsid w:val="00C477B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אליהו אלקלעי</FullName>
        <FirstName>אליהו</FirstName>
        <LastName>אלקלעי</LastName>
        <PartyPropertyName/>
        <AuthenticationTypeAndNumber>ת"ז </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263838281</CasePartyID>
        <PartyTypeID>4</PartyTypeID>
        <ActivityStatusID>1</ActivityStatusID>
        <PartyAliasID>101</PartyAliasID>
        <PartyAliasName>עד בית משפט</PartyAliasName>
        <LegalEntityID>81618721</LegalEntityID>
        <CaseLegalEntityID>127028794</CaseLegalEntityID>
        <AuthenticationTypeID>1</AuthenticationTypeID>
        <AuthenticationTypeName>ת"ז</AuthenticationTypeName>
        <IsMainPartyType>true</IsMainPartyType>
        <CaseDisplayIdentifier>64801-11-22</CaseDisplayIdentifier>
        <CaseTypeID>10045</CaseTypeID>
        <CaseTypeName>אפוטרופסות (א"פ)</CaseTypeName>
        <CaseName>לוי ואח' נ' האפוטרופוס הכללי במחוז ירושלים ואח'</CaseName>
        <FullAddress/>
        <MotionID>0</MotionID>
        <CasePleaID>0</CasePleaID>
        <LinkedCaseID>0</LinkedCaseID>
        <CasePartyCategoryID>1</CasePartyCategoryID>
        <PleaTypeID>5</PleaTypeID>
        <GroupPartyAlias/>
        <IsConverted>false</IsConverted>
        <LegalEntityNameID>95871118</LegalEntityNameID>
        <RepresentatedNamesOfAssistant/>
        <LegalEntityTypeID>1</LegalEntityTypeID>
        <IsVerdictExists>false</IsVerdictExists>
        <IsAsirAzir>false</IsAsirAzir>
        <IsPublicationProhibited>false</IsPublicationProhibited>
        <PublicationProhibitedFullName>אליהו אלקלעי</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250910299</CasePartyID>
        <PartyTypeID>3</PartyTypeID>
        <ActivityStatusID>1</ActivityStatusID>
        <LegalEntityID>15868479</LegalEntityID>
        <CaseLegalEntityID>122869540</CaseLegalEntityID>
        <AssistantRoleID>26</AssistantRoleID>
        <AuthenticationTypeID>17</AuthenticationTypeID>
        <AuthenticationTypeName>גופים על פי דין</AuthenticationTypeName>
        <LegalEntityNumber>513436330</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5</PleaTypeID>
        <GroupPartyAlias/>
        <IsConverted>false</IsConverted>
        <LegalEntityRegisteredNameID>6018550</LegalEntityRegisteredNameID>
        <RepresentatedNamesOfAssistant/>
        <LegalEntityTypeID>3</LegalEntityTypeID>
        <IsVerdictExists>false</IsVerdictExists>
        <IsAsirAzir>false</IsAsirAzir>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רבקה לוי</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251032797</CasePartyID>
        <PartyTypeID>2</PartyTypeID>
        <ActivityStatusID>1</ActivityStatusID>
        <PartyAliasID>23</PartyAliasID>
        <PartyAliasName>בא כוח משיבים</PartyAliasName>
        <LegalEntityID>406718</LegalEntityID>
        <CaseLegalEntityID>122908427</CaseLegalEntityID>
        <AuthenticationTypeID>4</AuthenticationTypeID>
        <AuthenticationTypeName>מ.ר.</AuthenticationTypeName>
        <LegalEntityNumber>31752</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5</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IsPublicationProhibited>false</IsPublicationProhibited>
        <PublicationProhibitedFullName>מיכל קורינאלדי כ</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אבישי חלפון</FullName>
        <FirstName>אבישי</FirstName>
        <LastName>חלפון</LastName>
        <PartyPropertyName/>
        <AuthenticationTypeAndNumber>מ.ר. 25333</AuthenticationTypeAndNumber>
        <RepresentatedOrRepresentativesNames>דוד לוי</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248604825</CasePartyID>
        <PartyTypeID>2</PartyTypeID>
        <ActivityStatusID>1</ActivityStatusID>
        <PartyAliasID>23</PartyAliasID>
        <PartyAliasName>בא כוח משיבים</PartyAliasName>
        <LegalEntityID>387677</LegalEntityID>
        <CaseLegalEntityID>122167669</CaseLegalEntityID>
        <AuthenticationTypeID>4</AuthenticationTypeID>
        <AuthenticationTypeName>מ.ר.</AuthenticationTypeName>
        <LegalEntityNumber>25333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יגאל אלון 98 תל אביב -יפו </FullAddress>
        <EmailAddress>meggy.hason@goldfarb.com</EmailAddress>
        <MotionID>0</MotionID>
        <CasePleaID>0</CasePleaID>
        <FatherName xml:space="preserve">        </FatherName>
        <LinkedCaseID>0</LinkedCaseID>
        <PartyID>2</PartyID>
        <CasePartyCategoryID>2</CasePartyCategoryID>
        <LegalEntityAddressID>72096983</LegalEntityAddressID>
        <LegalEntityEmailAddressID>68045487</LegalEntityEmailAddressID>
        <PleaTypeID>5</PleaTypeID>
        <LawyerOfficeName>משרד עו"ד: גולדפרב,זליגמן ושות'</LawyerOfficeName>
        <LawyerOfficeID>440797</LawyerOfficeID>
        <GroupPartyAlias/>
        <IsConverted>false</IsConverted>
        <LegalEntityNameID>8661</LegalEntityNameID>
        <RepresentatedNamesOfAssistant/>
        <LegalEntityTypeID>4</LegalEntityTypeID>
        <IsVerdictExists>false</IsVerdictExists>
        <IsAsirAzir>false</IsAsirAzir>
        <IsPublicationProhibited>false</IsPublicationProhibited>
        <PublicationProhibitedFullName>אבישי חלפון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עזרא לוי</FullName>
        <FirstName>עזרא</FirstName>
        <LastName>לוי</LastName>
        <PartyPropertyName/>
        <AuthenticationTypeAndNumber>ת"ז 054189113</AuthenticationTypeAndNumber>
        <RepresentatedOrRepresentativesNames>נחמיה אנגלמן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248542699</CasePartyID>
        <PartyTypeID>1</PartyTypeID>
        <ActivityStatusID>1</ActivityStatusID>
        <PartyAliasID>3</PartyAliasID>
        <PartyAliasName>מבקש</PartyAliasName>
        <OrdinalNumber>1</OrdinalNumber>
        <LegalEntityID>46292651</LegalEntityID>
        <CaseLegalEntityID>122150236</CaseLegalEntityID>
        <AuthenticationTypeID>1</AuthenticationTypeID>
        <AuthenticationTypeName>ת"ז</AuthenticationTypeName>
        <LegalEntityNumber>054189113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משרד עוה"ד ארנון, תדמור - לוי</FullAddress>
        <MotionID>0</MotionID>
        <CasePleaID>0</CasePleaID>
        <FatherName>אהרן</FatherName>
        <LinkedCaseID>0</LinkedCaseID>
        <PartyID>1</PartyID>
        <CasePartyCategoryID>2</CasePartyCategoryID>
        <LegalEntityAddressID>87234881</LegalEntityAddressID>
        <PleaTypeID>5</PleaTypeID>
        <GroupPartyAlias>מבקשים</GroupPartyAlias>
        <IsConverted>false</IsConverted>
        <LegalEntityRegisteredNameID>10138160</LegalEntityRegisteredNameID>
        <LegalEntityNameID>94017557</LegalEntityNameID>
        <RepresentatedNamesOfAssistant/>
        <LegalEntityTypeID>1</LegalEntityTypeID>
        <IsVerdictExists>false</IsVerdictExists>
        <IsAsirAzir>false</IsAsirAzir>
        <IsPublicationProhibited>false</IsPublicationProhibited>
        <PublicationProhibitedFullName>עזרא לוי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נחמיה אנגלמן</FullName>
        <FirstName>נחמיה</FirstName>
        <LastName>אנגלמן</LastName>
        <PartyPropertyName/>
        <AuthenticationTypeAndNumber>מ.ר. 74953</AuthenticationTypeAndNumber>
        <RepresentatedOrRepresentativesNames>עזרא לוי, שלמה לוי</RepresentatedOrRepresentativesNames>
        <RepresentatedOrRepresentativesCount>2</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248542700</CasePartyID>
        <PartyTypeID>2</PartyTypeID>
        <ActivityStatusID>1</ActivityStatusID>
        <PartyAliasID>22</PartyAliasID>
        <PartyAliasName>בא כוח מבקשים</PartyAliasName>
        <OrdinalNumber>1</OrdinalNumber>
        <LegalEntityID>78390795</LegalEntityID>
        <CaseLegalEntityID>122150237</CaseLegalEntityID>
        <AuthenticationTypeID>4</AuthenticationTypeID>
        <AuthenticationTypeName>מ.ר.</AuthenticationTypeName>
        <LegalEntityNumber>74953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ירושלים ת.ד 69</FullAddress>
        <EmailAddress>court@arnon.co.il</EmailAddress>
        <MotionID>0</MotionID>
        <CasePleaID>0</CasePleaID>
        <LinkedCaseID>0</LinkedCaseID>
        <PartyID>1</PartyID>
        <CasePartyCategoryID>2</CasePartyCategoryID>
        <LegalEntityAddressID>81355490</LegalEntityAddressID>
        <LegalEntityEmailAddressID>67839361</LegalEntityEmailAddressID>
        <PleaTypeID>5</PleaTypeID>
        <LawyerOfficeName>משרד עו"ד: ארנון,תדמור-לוי</LawyerOfficeName>
        <LawyerOfficeID>429682</LawyerOfficeID>
        <GroupPartyAlias/>
        <IsConverted>false</IsConverted>
        <LegalEntityNameID>88344659</LegalEntityNameID>
        <RepresentatedNamesOfAssistant/>
        <LegalEntityTypeID>4</LegalEntityTypeID>
        <IsVerdictExists>false</IsVerdictExists>
        <IsAsirAzir>false</IsAsirAzir>
        <IsPublicationProhibited>false</IsPublicationProhibited>
        <PublicationProhibitedFullName>נחמיה אנגלמן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248542704</CasePartyID>
        <PartyTypeID>2</PartyTypeID>
        <ActivityStatusID>1</ActivityStatusID>
        <PartyAliasID>23</PartyAliasID>
        <PartyAliasName>בא כוח משיבים</PartyAliasName>
        <OrdinalNumber>1</OrdinalNumber>
        <LegalEntityID>15874814</LegalEntityID>
        <CaseLegalEntityID>122150241</CaseLegalEntityID>
        <AuthenticationTypeID>4</AuthenticationTypeID>
        <AuthenticationTypeName>מ.ר.</AuthenticationTypeName>
        <LegalEntityNumber>50225</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248542701</CasePartyID>
        <PartyTypeID>1</PartyTypeID>
        <ActivityStatusID>1</ActivityStatusID>
        <PartyAliasID>4</PartyAliasID>
        <PartyAliasName>משיב</PartyAliasName>
        <OrdinalNumber>1</OrdinalNumber>
        <LegalEntityID>6760</LegalEntityID>
        <CaseLegalEntityID>122150238</CaseLegalEntityID>
        <AuthenticationTypeID>13</AuthenticationTypeID>
        <AuthenticationTypeName>משרדי ממשלה</AuthenticationTypeName>
        <LegalEntityNumber>999009</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5</PleaTypeID>
        <GroupPartyAlias>משיבים</GroupPartyAlias>
        <IsConverted>false</IsConverted>
        <LegalEntityRegisteredNameID>328160</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שלמה לוי</FullName>
        <FirstName>שלמה</FirstName>
        <LastName>לוי</LastName>
        <PartyPropertyName/>
        <AuthenticationTypeAndNumber>ת"ז 057407348</AuthenticationTypeAndNumber>
        <RepresentatedOrRepresentativesNames>נחמיה אנגלמן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248542698</CasePartyID>
        <PartyTypeID>1</PartyTypeID>
        <ActivityStatusID>1</ActivityStatusID>
        <PartyAliasID>3</PartyAliasID>
        <PartyAliasName>מבקש</PartyAliasName>
        <OrdinalNumber>2</OrdinalNumber>
        <LegalEntityID>79916559</LegalEntityID>
        <CaseLegalEntityID>122150235</CaseLegalEntityID>
        <AuthenticationTypeID>1</AuthenticationTypeID>
        <AuthenticationTypeName>ת"ז</AuthenticationTypeName>
        <LegalEntityNumber>057407348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משרד עוה"ד ארנון, תדמור - לוי</FullAddress>
        <MotionID>0</MotionID>
        <CasePleaID>0</CasePleaID>
        <FatherName>אהרן</FatherName>
        <LinkedCaseID>0</LinkedCaseID>
        <PartyID>1</PartyID>
        <CasePartyCategoryID>2</CasePartyCategoryID>
        <LegalEntityAddressID>87234880</LegalEntityAddressID>
        <PleaTypeID>5</PleaTypeID>
        <GroupPartyAlias>מבקשים</GroupPartyAlias>
        <IsConverted>false</IsConverted>
        <LegalEntityRegisteredNameID>10138159</LegalEntityRegisteredNameID>
        <LegalEntityNameID>94017556</LegalEntityNameID>
        <RepresentatedNamesOfAssistant/>
        <LegalEntityTypeID>1</LegalEntityTypeID>
        <IsVerdictExists>false</IsVerdictExists>
        <IsAsirAzir>false</IsAsirAzir>
        <IsPublicationProhibited>false</IsPublicationProhibited>
        <PublicationProhibitedFullName>שלמה לוי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248542702</CasePartyID>
        <PartyTypeID>1</PartyTypeID>
        <ActivityStatusID>1</ActivityStatusID>
        <PartyAliasID>4</PartyAliasID>
        <PartyAliasName>משיב</PartyAliasName>
        <OrdinalNumber>2</OrdinalNumber>
        <LegalEntityID>69991102</LegalEntityID>
        <CaseLegalEntityID>122150239</CaseLegalEntityID>
        <AuthenticationTypeID>13</AuthenticationTypeID>
        <AuthenticationTypeName>משרדי ממשלה</AuthenticationTypeName>
        <LegalEntityNumber>570001538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יפה לוי חקיקאן</FullName>
        <FirstName>יפה מזל</FirstName>
        <LastName>חקקיאן</LastName>
        <PartyPropertyName/>
        <AuthenticationTypeAndNumber>ת"ז 025465048</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248542697</CasePartyID>
        <PartyTypeID>1</PartyTypeID>
        <ActivityStatusID>1</ActivityStatusID>
        <PartyAliasID>3</PartyAliasID>
        <PartyAliasName>מבקש</PartyAliasName>
        <OrdinalNumber>3</OrdinalNumber>
        <LegalEntityID>79916561</LegalEntityID>
        <CaseLegalEntityID>122150234</CaseLegalEntityID>
        <AuthenticationTypeID>1</AuthenticationTypeID>
        <AuthenticationTypeName>ת"ז</AuthenticationTypeName>
        <LegalEntityNumber>025465048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מבוא פלים 26 ירושלים הגבעה הצרפתית</FullAddress>
        <MotionID>0</MotionID>
        <CasePleaID>0</CasePleaID>
        <FatherName>אהרון</FatherName>
        <LinkedCaseID>0</LinkedCaseID>
        <PartyID>1</PartyID>
        <CasePartyCategoryID>2</CasePartyCategoryID>
        <LegalEntityAddressID>88731967</LegalEntityAddressID>
        <PleaTypeID>5</PleaTypeID>
        <GroupPartyAlias>מבקשים</GroupPartyAlias>
        <IsConverted>false</IsConverted>
        <LegalEntityRegisteredNameID>10138158</LegalEntityRegisteredNameID>
        <LegalEntityNameID>94017555</LegalEntityNameID>
        <RepresentatedNamesOfAssistant/>
        <LegalEntityTypeID>1</LegalEntityTypeID>
        <IsVerdictExists>false</IsVerdictExists>
        <IsAsirAzir>false</IsAsirAzir>
        <IsPublicationProhibited>false</IsPublicationProhibited>
        <PublicationProhibitedFullName>יפה לוי חקיקאן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דוד לוי</FullName>
        <FirstName>דוד</FirstName>
        <LastName>לוי</LastName>
        <PartyPropertyName/>
        <AuthenticationTypeAndNumber>ת"ז 022956163</AuthenticationTypeAndNumber>
        <RepresentatedOrRepresentativesNames>אבישי חלפון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248542703</CasePartyID>
        <PartyTypeID>1</PartyTypeID>
        <ActivityStatusID>1</ActivityStatusID>
        <PartyAliasID>4</PartyAliasID>
        <PartyAliasName>משיב</PartyAliasName>
        <OrdinalNumber>3</OrdinalNumber>
        <LegalEntityID>46229633</LegalEntityID>
        <CaseLegalEntityID>122150240</CaseLegalEntityID>
        <AuthenticationTypeID>1</AuthenticationTypeID>
        <AuthenticationTypeName>ת"ז</AuthenticationTypeName>
        <LegalEntityNumber>022956163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רח' המשורר אצ"ג 18/5  דוד לוי</FullAddress>
        <MotionID>0</MotionID>
        <CasePleaID>0</CasePleaID>
        <BirthDate>1967-09-09T00:00:00+03:00</BirthDate>
        <FatherName>אהרן    </FatherName>
        <LinkedCaseID>0</LinkedCaseID>
        <PartyID>2</PartyID>
        <CasePartyCategoryID>2</CasePartyCategoryID>
        <LegalEntityAddressID>87234882</LegalEntityAddressID>
        <PleaTypeID>5</PleaTypeID>
        <GroupPartyAlias>משיבים</GroupPartyAlias>
        <IsConverted>false</IsConverted>
        <LegalEntityRegisteredNameID>3697073</LegalEntityRegisteredNameID>
        <LegalEntityNameID>94017558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לוי</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אמנון לוי</FullName>
        <FirstName>אמנון</FirstName>
        <LastName>לוי</LastName>
        <PartyPropertyName/>
        <AuthenticationTypeAndNumber>ת"ז 056099187</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248542696</CasePartyID>
        <PartyTypeID>1</PartyTypeID>
        <ActivityStatusID>1</ActivityStatusID>
        <PartyAliasID>3</PartyAliasID>
        <PartyAliasName>מבקש</PartyAliasName>
        <OrdinalNumber>4</OrdinalNumber>
        <LegalEntityID>71137166</LegalEntityID>
        <CaseLegalEntityID>122150233</CaseLegalEntityID>
        <AuthenticationTypeID>1</AuthenticationTypeID>
        <AuthenticationTypeName>ת"ז</AuthenticationTypeName>
        <LegalEntityNumber>056099187</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מעלות כיסופים 17 ירושלים </FullAddress>
        <MotionID>0</MotionID>
        <CasePleaID>0</CasePleaID>
        <FatherName>אהרן</FatherName>
        <LinkedCaseID>0</LinkedCaseID>
        <PartyID>1</PartyID>
        <CasePartyCategoryID>2</CasePartyCategoryID>
        <LegalEntityAddressID>87284253</LegalEntityAddressID>
        <PleaTypeID>5</PleaTypeID>
        <GroupPartyAlias>מבקשים</GroupPartyAlias>
        <IsConverted>false</IsConverted>
        <LegalEntityRegisteredNameID>3080096</LegalEntityRegisteredNameID>
        <LegalEntityNameID>94017554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לוי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רבקה לוי (אדם שמונה לו אפוטרופוס)</FullName>
        <FirstName>רבקה</FirstName>
        <LastName>לוי</LastName>
        <PartyPropertyID>27</PartyPropertyID>
        <PartyPropertyName/>
        <AuthenticationTypeAndNumber>ת"ז 000898221</AuthenticationTypeAndNumber>
        <RepresentatedOrRepresentativesNames>מיכל קורינאלדי כ</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248542924</CasePartyID>
        <PartyTypeID>1</PartyTypeID>
        <ActivityStatusID>1</ActivityStatusID>
        <PartyAliasID>4</PartyAliasID>
        <PartyAliasName>משיב</PartyAliasName>
        <OrdinalNumber>4</OrdinalNumber>
        <LegalEntityID>70928826</LegalEntityID>
        <CaseLegalEntityID>122150333</CaseLegalEntityID>
        <AuthenticationTypeID>1</AuthenticationTypeID>
        <AuthenticationTypeName>ת"ז</AuthenticationTypeName>
        <LegalEntityNumber>000898221</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
        <MotionID>0</MotionID>
        <CasePleaID>0</CasePleaID>
        <FatherName>עזרא</FatherName>
        <LinkedCaseID>0</LinkedCaseID>
        <PartyID>2</PartyID>
        <CasePartyCategoryID>2</CasePartyCategoryID>
        <PleaTypeID>5</PleaTypeID>
        <GroupPartyAlias>משיבים</GroupPartyAlias>
        <IsConverted>false</IsConverted>
        <LegalEntityRegisteredNameID>2968236</LegalEntityRegisteredNameID>
        <LegalEntityNameID>94017610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לוי (אדם שמונה לו אפוטרופוס)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המרכז הישראלי לאפוטרופסות- ירושלים</FullName>
        <LastName>המרכז הישראלי לאפוטרופסות- ירושלים</LastName>
        <PartyPropertyName/>
        <AuthenticationTypeAndNumber>גופים על פי דין 513436333</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270390470</CasePartyID>
        <PartyTypeID>1</PartyTypeID>
        <ActivityStatusID>1</ActivityStatusID>
        <PartyAliasID>4</PartyAliasID>
        <PartyAliasName>משיב</PartyAliasName>
        <OrdinalNumber>5</OrdinalNumber>
        <LegalEntityID>15868591</LegalEntityID>
        <CaseLegalEntityID>128948322</CaseLegalEntityID>
        <AuthenticationTypeID>17</AuthenticationTypeID>
        <AuthenticationTypeName>גופים על פי דין</AuthenticationTypeName>
        <LegalEntityNumber>513436333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כנפי נשרים 13 ירושלים בית ענבר קומה 3</FullAddress>
        <MotionID>0</MotionID>
        <CasePleaID>0</CasePleaID>
        <LinkedCaseID>0</LinkedCaseID>
        <PartyID>2</PartyID>
        <CasePartyCategoryID>2</CasePartyCategoryID>
        <LegalEntityAddressID>77995413</LegalEntityAddressID>
        <PleaTypeID>5</PleaTypeID>
        <GroupPartyAlias>משיבים</GroupPartyAlias>
        <IsConverted>false</IsConverted>
        <LegalEntityRegisteredNameID>9410751</LegalEntityRegisteredNameID>
        <RepresentatedNamesOfAssistant/>
        <LegalEntityTypeID>3</LegalEntityTypeID>
        <IsVerdictExists>false</IsVerdictExists>
        <IsAsirAzir>false</IsAsirAzir>
        <IsPublicationProhibited>false</IsPublicationProhibited>
        <PublicationProhibitedFullName>המרכז הישראלי לאפוטרופסות- ירושלים</PublicationProhibitedFullName>
      </CaseParties>
    </CasePartiesSelectionDS>
    <DecisionName>החלטה  שניתנה ע"י  הילה גלבוע</DecisionName>
    <CourtDisplayName>בית משפט לענייני משפחה בירושלים</CourtDisplayName>
    <IsCaseJudgePanel>false</IsCaseJudgePanel>
    <DecisionSignatureDate>2024-06-05T11:32:36.2123792+03:00</DecisionSignatureDate>
    <OpenCaseDate>2022-11-29T09:18:00+02:00</OpenCaseDate>
    <CaseFeeSum>0.000</CaseFeeSum>
    <DecisionTypeID>1</DecisionTypeID>
    <DecisionSignatureUserName>הילה גלבוע</DecisionSignatureUserName>
    <DecisionSignatureDateHebrew>2024-06-05T11:32:36.2123792+03:00</DecisionSignatureDateHebrew>
    <DecisionWriterID>033663675@GOV.IL</DecisionWriterID>
    <CourtAddress>רח' חשין 6, ירושלים 9515601</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לוי ואח' נ' האפוטרופוס הכללי במחוז ירושלים ואח'</CaseName>
    <DecisionNumberInCase>73</DecisionNumberInCase>
  </dt_Decision>
  <dt_DecisionCase>
    <DecisionID>0</DecisionID>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אליהו אלקלעי</FullName>
        <FirstName>אליהו</FirstName>
        <LastName>אלקלעי</LastName>
        <PartyPropertyName/>
        <AuthenticationTypeAndNumber>ת"ז </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263838281</CasePartyID>
        <PartyTypeID>4</PartyTypeID>
        <ActivityStatusID>1</ActivityStatusID>
        <PartyAliasID>101</PartyAliasID>
        <PartyAliasName>עד בית משפט</PartyAliasName>
        <LegalEntityID>81618721</LegalEntityID>
        <CaseLegalEntityID>127028794</CaseLegalEntityID>
        <AuthenticationTypeID>1</AuthenticationTypeID>
        <AuthenticationTypeName>ת"ז</AuthenticationTypeName>
        <IsMainPartyType>true</IsMainPartyType>
        <CaseDisplayIdentifier>64801-11-22</CaseDisplayIdentifier>
        <CaseTypeID>10045</CaseTypeID>
        <CaseTypeName>אפוטרופסות (א"פ)</CaseTypeName>
        <CaseName>לוי ואח' נ' האפוטרופוס הכללי במחוז ירושלים ואח'</CaseName>
        <FullAddress/>
        <MotionID>0</MotionID>
        <CasePleaID>0</CasePleaID>
        <LinkedCaseID>0</LinkedCaseID>
        <CasePartyCategoryID>1</CasePartyCategoryID>
        <PleaTypeID>5</PleaTypeID>
        <GroupPartyAlias/>
        <IsConverted>false</IsConverted>
        <LegalEntityNameID>95871118</LegalEntityNameID>
        <RepresentatedNamesOfAssistant/>
        <LegalEntityTypeID>1</LegalEntityTypeID>
        <IsVerdictExists>false</IsVerdictExists>
        <IsAsirAzir>false</IsAsirAzir>
        <IsPublicationProhibited>false</IsPublicationProhibited>
        <PublicationProhibitedFullName>אליהו אלקלעי</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250910299</CasePartyID>
        <PartyTypeID>3</PartyTypeID>
        <ActivityStatusID>1</ActivityStatusID>
        <LegalEntityID>15868479</LegalEntityID>
        <CaseLegalEntityID>122869540</CaseLegalEntityID>
        <AssistantRoleID>26</AssistantRoleID>
        <AuthenticationTypeID>17</AuthenticationTypeID>
        <AuthenticationTypeName>גופים על פי דין</AuthenticationTypeName>
        <LegalEntityNumber>513436330</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5</PleaTypeID>
        <GroupPartyAlias/>
        <IsConverted>false</IsConverted>
        <LegalEntityRegisteredNameID>6018550</LegalEntityRegisteredNameID>
        <RepresentatedNamesOfAssistant/>
        <LegalEntityTypeID>3</LegalEntityTypeID>
        <IsVerdictExists>false</IsVerdictExists>
        <IsAsirAzir>false</IsAsirAzir>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רבקה לוי</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251032797</CasePartyID>
        <PartyTypeID>2</PartyTypeID>
        <ActivityStatusID>1</ActivityStatusID>
        <PartyAliasID>23</PartyAliasID>
        <PartyAliasName>בא כוח משיבים</PartyAliasName>
        <LegalEntityID>406718</LegalEntityID>
        <CaseLegalEntityID>122908427</CaseLegalEntityID>
        <AuthenticationTypeID>4</AuthenticationTypeID>
        <AuthenticationTypeName>מ.ר.</AuthenticationTypeName>
        <LegalEntityNumber>31752</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5</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IsPublicationProhibited>false</IsPublicationProhibited>
        <PublicationProhibitedFullName>מיכל קורינאלדי כ</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אבישי חלפון</FullName>
        <FirstName>אבישי</FirstName>
        <LastName>חלפון</LastName>
        <PartyPropertyName/>
        <AuthenticationTypeAndNumber>מ.ר. 25333</AuthenticationTypeAndNumber>
        <RepresentatedOrRepresentativesNames>דוד לוי</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248604825</CasePartyID>
        <PartyTypeID>2</PartyTypeID>
        <ActivityStatusID>1</ActivityStatusID>
        <PartyAliasID>23</PartyAliasID>
        <PartyAliasName>בא כוח משיבים</PartyAliasName>
        <LegalEntityID>387677</LegalEntityID>
        <CaseLegalEntityID>122167669</CaseLegalEntityID>
        <AuthenticationTypeID>4</AuthenticationTypeID>
        <AuthenticationTypeName>מ.ר.</AuthenticationTypeName>
        <LegalEntityNumber>25333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יגאל אלון 98 תל אביב -יפו </FullAddress>
        <EmailAddress>meggy.hason@goldfarb.com</EmailAddress>
        <MotionID>0</MotionID>
        <CasePleaID>0</CasePleaID>
        <FatherName xml:space="preserve">        </FatherName>
        <LinkedCaseID>0</LinkedCaseID>
        <PartyID>2</PartyID>
        <CasePartyCategoryID>2</CasePartyCategoryID>
        <LegalEntityAddressID>72096983</LegalEntityAddressID>
        <LegalEntityEmailAddressID>68045487</LegalEntityEmailAddressID>
        <PleaTypeID>5</PleaTypeID>
        <LawyerOfficeName>משרד עו"ד: גולדפרב,זליגמן ושות'</LawyerOfficeName>
        <LawyerOfficeID>440797</LawyerOfficeID>
        <GroupPartyAlias/>
        <IsConverted>false</IsConverted>
        <LegalEntityNameID>8661</LegalEntityNameID>
        <RepresentatedNamesOfAssistant/>
        <LegalEntityTypeID>4</LegalEntityTypeID>
        <IsVerdictExists>false</IsVerdictExists>
        <IsAsirAzir>false</IsAsirAzir>
        <IsPublicationProhibited>false</IsPublicationProhibited>
        <PublicationProhibitedFullName>אבישי חלפון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עזרא לוי</FullName>
        <FirstName>עזרא</FirstName>
        <LastName>לוי</LastName>
        <PartyPropertyName/>
        <AuthenticationTypeAndNumber>ת"ז 054189113</AuthenticationTypeAndNumber>
        <RepresentatedOrRepresentativesNames>נחמיה אנגלמן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248542699</CasePartyID>
        <PartyTypeID>1</PartyTypeID>
        <ActivityStatusID>1</ActivityStatusID>
        <PartyAliasID>3</PartyAliasID>
        <PartyAliasName>מבקש</PartyAliasName>
        <OrdinalNumber>1</OrdinalNumber>
        <LegalEntityID>46292651</LegalEntityID>
        <CaseLegalEntityID>122150236</CaseLegalEntityID>
        <AuthenticationTypeID>1</AuthenticationTypeID>
        <AuthenticationTypeName>ת"ז</AuthenticationTypeName>
        <LegalEntityNumber>054189113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משרד עוה"ד ארנון, תדמור - לוי</FullAddress>
        <MotionID>0</MotionID>
        <CasePleaID>0</CasePleaID>
        <FatherName>אהרן</FatherName>
        <LinkedCaseID>0</LinkedCaseID>
        <PartyID>1</PartyID>
        <CasePartyCategoryID>2</CasePartyCategoryID>
        <LegalEntityAddressID>87234881</LegalEntityAddressID>
        <PleaTypeID>5</PleaTypeID>
        <GroupPartyAlias>מבקשים</GroupPartyAlias>
        <IsConverted>false</IsConverted>
        <LegalEntityRegisteredNameID>10138160</LegalEntityRegisteredNameID>
        <LegalEntityNameID>94017557</LegalEntityNameID>
        <RepresentatedNamesOfAssistant/>
        <LegalEntityTypeID>1</LegalEntityTypeID>
        <IsVerdictExists>false</IsVerdictExists>
        <IsAsirAzir>false</IsAsirAzir>
        <IsPublicationProhibited>false</IsPublicationProhibited>
        <PublicationProhibitedFullName>עזרא לוי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נחמיה אנגלמן</FullName>
        <FirstName>נחמיה</FirstName>
        <LastName>אנגלמן</LastName>
        <PartyPropertyName/>
        <AuthenticationTypeAndNumber>מ.ר. 74953</AuthenticationTypeAndNumber>
        <RepresentatedOrRepresentativesNames>עזרא לוי, שלמה לוי</RepresentatedOrRepresentativesNames>
        <RepresentatedOrRepresentativesCount>2</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248542700</CasePartyID>
        <PartyTypeID>2</PartyTypeID>
        <ActivityStatusID>1</ActivityStatusID>
        <PartyAliasID>22</PartyAliasID>
        <PartyAliasName>בא כוח מבקשים</PartyAliasName>
        <OrdinalNumber>1</OrdinalNumber>
        <LegalEntityID>78390795</LegalEntityID>
        <CaseLegalEntityID>122150237</CaseLegalEntityID>
        <AuthenticationTypeID>4</AuthenticationTypeID>
        <AuthenticationTypeName>מ.ר.</AuthenticationTypeName>
        <LegalEntityNumber>74953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ירושלים ת.ד 69</FullAddress>
        <EmailAddress>court@arnon.co.il</EmailAddress>
        <MotionID>0</MotionID>
        <CasePleaID>0</CasePleaID>
        <LinkedCaseID>0</LinkedCaseID>
        <PartyID>1</PartyID>
        <CasePartyCategoryID>2</CasePartyCategoryID>
        <LegalEntityAddressID>81355490</LegalEntityAddressID>
        <LegalEntityEmailAddressID>67839361</LegalEntityEmailAddressID>
        <PleaTypeID>5</PleaTypeID>
        <LawyerOfficeName>משרד עו"ד: ארנון,תדמור-לוי</LawyerOfficeName>
        <LawyerOfficeID>429682</LawyerOfficeID>
        <GroupPartyAlias/>
        <IsConverted>false</IsConverted>
        <LegalEntityNameID>88344659</LegalEntityNameID>
        <RepresentatedNamesOfAssistant/>
        <LegalEntityTypeID>4</LegalEntityTypeID>
        <IsVerdictExists>false</IsVerdictExists>
        <IsAsirAzir>false</IsAsirAzir>
        <IsPublicationProhibited>false</IsPublicationProhibited>
        <PublicationProhibitedFullName>נחמיה אנגלמן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248542704</CasePartyID>
        <PartyTypeID>2</PartyTypeID>
        <ActivityStatusID>1</ActivityStatusID>
        <PartyAliasID>23</PartyAliasID>
        <PartyAliasName>בא כוח משיבים</PartyAliasName>
        <OrdinalNumber>1</OrdinalNumber>
        <LegalEntityID>15874814</LegalEntityID>
        <CaseLegalEntityID>122150241</CaseLegalEntityID>
        <AuthenticationTypeID>4</AuthenticationTypeID>
        <AuthenticationTypeName>מ.ר.</AuthenticationTypeName>
        <LegalEntityNumber>50225</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248542701</CasePartyID>
        <PartyTypeID>1</PartyTypeID>
        <ActivityStatusID>1</ActivityStatusID>
        <PartyAliasID>4</PartyAliasID>
        <PartyAliasName>משיב</PartyAliasName>
        <OrdinalNumber>1</OrdinalNumber>
        <LegalEntityID>6760</LegalEntityID>
        <CaseLegalEntityID>122150238</CaseLegalEntityID>
        <AuthenticationTypeID>13</AuthenticationTypeID>
        <AuthenticationTypeName>משרדי ממשלה</AuthenticationTypeName>
        <LegalEntityNumber>999009</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5</PleaTypeID>
        <GroupPartyAlias>משיבים</GroupPartyAlias>
        <IsConverted>false</IsConverted>
        <LegalEntityRegisteredNameID>328160</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שלמה לוי</FullName>
        <FirstName>שלמה</FirstName>
        <LastName>לוי</LastName>
        <PartyPropertyName/>
        <AuthenticationTypeAndNumber>ת"ז 057407348</AuthenticationTypeAndNumber>
        <RepresentatedOrRepresentativesNames>נחמיה אנגלמן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248542698</CasePartyID>
        <PartyTypeID>1</PartyTypeID>
        <ActivityStatusID>1</ActivityStatusID>
        <PartyAliasID>3</PartyAliasID>
        <PartyAliasName>מבקש</PartyAliasName>
        <OrdinalNumber>2</OrdinalNumber>
        <LegalEntityID>79916559</LegalEntityID>
        <CaseLegalEntityID>122150235</CaseLegalEntityID>
        <AuthenticationTypeID>1</AuthenticationTypeID>
        <AuthenticationTypeName>ת"ז</AuthenticationTypeName>
        <LegalEntityNumber>057407348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הלל 31  משרד עוה"ד ארנון, תדמור - לוי</FullAddress>
        <MotionID>0</MotionID>
        <CasePleaID>0</CasePleaID>
        <FatherName>אהרן</FatherName>
        <LinkedCaseID>0</LinkedCaseID>
        <PartyID>1</PartyID>
        <CasePartyCategoryID>2</CasePartyCategoryID>
        <LegalEntityAddressID>87234880</LegalEntityAddressID>
        <PleaTypeID>5</PleaTypeID>
        <GroupPartyAlias>מבקשים</GroupPartyAlias>
        <IsConverted>false</IsConverted>
        <LegalEntityRegisteredNameID>10138159</LegalEntityRegisteredNameID>
        <LegalEntityNameID>94017556</LegalEntityNameID>
        <RepresentatedNamesOfAssistant/>
        <LegalEntityTypeID>1</LegalEntityTypeID>
        <IsVerdictExists>false</IsVerdictExists>
        <IsAsirAzir>false</IsAsirAzir>
        <IsPublicationProhibited>false</IsPublicationProhibited>
        <PublicationProhibitedFullName>שלמה לוי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248542702</CasePartyID>
        <PartyTypeID>1</PartyTypeID>
        <ActivityStatusID>1</ActivityStatusID>
        <PartyAliasID>4</PartyAliasID>
        <PartyAliasName>משיב</PartyAliasName>
        <OrdinalNumber>2</OrdinalNumber>
        <LegalEntityID>69991102</LegalEntityID>
        <CaseLegalEntityID>122150239</CaseLegalEntityID>
        <AuthenticationTypeID>13</AuthenticationTypeID>
        <AuthenticationTypeName>משרדי ממשלה</AuthenticationTypeName>
        <LegalEntityNumber>570001538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יפה לוי חקיקאן</FullName>
        <FirstName>יפה מזל</FirstName>
        <LastName>חקקיאן</LastName>
        <PartyPropertyName/>
        <AuthenticationTypeAndNumber>ת"ז 025465048</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248542697</CasePartyID>
        <PartyTypeID>1</PartyTypeID>
        <ActivityStatusID>1</ActivityStatusID>
        <PartyAliasID>3</PartyAliasID>
        <PartyAliasName>מבקש</PartyAliasName>
        <OrdinalNumber>3</OrdinalNumber>
        <LegalEntityID>79916561</LegalEntityID>
        <CaseLegalEntityID>122150234</CaseLegalEntityID>
        <AuthenticationTypeID>1</AuthenticationTypeID>
        <AuthenticationTypeName>ת"ז</AuthenticationTypeName>
        <LegalEntityNumber>025465048</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מבוא פלים 26 ירושלים הגבעה הצרפתית</FullAddress>
        <MotionID>0</MotionID>
        <CasePleaID>0</CasePleaID>
        <FatherName>אהרון</FatherName>
        <LinkedCaseID>0</LinkedCaseID>
        <PartyID>1</PartyID>
        <CasePartyCategoryID>2</CasePartyCategoryID>
        <LegalEntityAddressID>88731967</LegalEntityAddressID>
        <PleaTypeID>5</PleaTypeID>
        <GroupPartyAlias>מבקשים</GroupPartyAlias>
        <IsConverted>false</IsConverted>
        <LegalEntityRegisteredNameID>10138158</LegalEntityRegisteredNameID>
        <LegalEntityNameID>94017555</LegalEntityNameID>
        <RepresentatedNamesOfAssistant/>
        <LegalEntityTypeID>1</LegalEntityTypeID>
        <IsVerdictExists>false</IsVerdictExists>
        <IsAsirAzir>false</IsAsirAzir>
        <IsPublicationProhibited>false</IsPublicationProhibited>
        <PublicationProhibitedFullName>יפה לוי חקיקאן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דוד לוי</FullName>
        <FirstName>דוד</FirstName>
        <LastName>לוי</LastName>
        <PartyPropertyName/>
        <AuthenticationTypeAndNumber>ת"ז 022956163</AuthenticationTypeAndNumber>
        <RepresentatedOrRepresentativesNames>אבישי חלפון</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248542703</CasePartyID>
        <PartyTypeID>1</PartyTypeID>
        <ActivityStatusID>1</ActivityStatusID>
        <PartyAliasID>4</PartyAliasID>
        <PartyAliasName>משיב</PartyAliasName>
        <OrdinalNumber>3</OrdinalNumber>
        <LegalEntityID>46229633</LegalEntityID>
        <CaseLegalEntityID>122150240</CaseLegalEntityID>
        <AuthenticationTypeID>1</AuthenticationTypeID>
        <AuthenticationTypeName>ת"ז</AuthenticationTypeName>
        <LegalEntityNumber>022956163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רח' המשורר אצ"ג 18/5  דוד לוי</FullAddress>
        <MotionID>0</MotionID>
        <CasePleaID>0</CasePleaID>
        <BirthDate>1967-09-09T00:00:00+03:00</BirthDate>
        <FatherName>אהרן    </FatherName>
        <LinkedCaseID>0</LinkedCaseID>
        <PartyID>2</PartyID>
        <CasePartyCategoryID>2</CasePartyCategoryID>
        <LegalEntityAddressID>87234882</LegalEntityAddressID>
        <PleaTypeID>5</PleaTypeID>
        <GroupPartyAlias>משיבים</GroupPartyAlias>
        <IsConverted>false</IsConverted>
        <LegalEntityRegisteredNameID>3697073</LegalEntityRegisteredNameID>
        <LegalEntityNameID>94017558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לוי</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אמנון לוי</FullName>
        <FirstName>אמנון</FirstName>
        <LastName>לוי</LastName>
        <PartyPropertyName/>
        <AuthenticationTypeAndNumber>ת"ז 056099187</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248542696</CasePartyID>
        <PartyTypeID>1</PartyTypeID>
        <ActivityStatusID>1</ActivityStatusID>
        <PartyAliasID>3</PartyAliasID>
        <PartyAliasName>מבקש</PartyAliasName>
        <OrdinalNumber>4</OrdinalNumber>
        <LegalEntityID>71137166</LegalEntityID>
        <CaseLegalEntityID>122150233</CaseLegalEntityID>
        <AuthenticationTypeID>1</AuthenticationTypeID>
        <AuthenticationTypeName>ת"ז</AuthenticationTypeName>
        <LegalEntityNumber>056099187</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מעלות כיסופים 17 ירושלים </FullAddress>
        <MotionID>0</MotionID>
        <CasePleaID>0</CasePleaID>
        <FatherName>אהרן</FatherName>
        <LinkedCaseID>0</LinkedCaseID>
        <PartyID>1</PartyID>
        <CasePartyCategoryID>2</CasePartyCategoryID>
        <LegalEntityAddressID>87284253</LegalEntityAddressID>
        <PleaTypeID>5</PleaTypeID>
        <GroupPartyAlias>מבקשים</GroupPartyAlias>
        <IsConverted>false</IsConverted>
        <LegalEntityRegisteredNameID>3080096</LegalEntityRegisteredNameID>
        <LegalEntityNameID>94017554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לוי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רבקה לוי (אדם שמונה לו אפוטרופוס)</FullName>
        <FirstName>רבקה</FirstName>
        <LastName>לוי</LastName>
        <PartyPropertyID>27</PartyPropertyID>
        <PartyPropertyName/>
        <AuthenticationTypeAndNumber>ת"ז 000898221</AuthenticationTypeAndNumber>
        <RepresentatedOrRepresentativesNames>מיכל קורינאלדי כ</RepresentatedOrRepresentativesNames>
        <RepresentatedOrRepresentativesCount>1</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248542924</CasePartyID>
        <PartyTypeID>1</PartyTypeID>
        <ActivityStatusID>1</ActivityStatusID>
        <PartyAliasID>4</PartyAliasID>
        <PartyAliasName>משיב</PartyAliasName>
        <OrdinalNumber>4</OrdinalNumber>
        <LegalEntityID>70928826</LegalEntityID>
        <CaseLegalEntityID>122150333</CaseLegalEntityID>
        <AuthenticationTypeID>1</AuthenticationTypeID>
        <AuthenticationTypeName>ת"ז</AuthenticationTypeName>
        <LegalEntityNumber>000898221</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
        <MotionID>0</MotionID>
        <CasePleaID>0</CasePleaID>
        <FatherName>עזרא</FatherName>
        <LinkedCaseID>0</LinkedCaseID>
        <PartyID>2</PartyID>
        <CasePartyCategoryID>2</CasePartyCategoryID>
        <PleaTypeID>5</PleaTypeID>
        <GroupPartyAlias>משיבים</GroupPartyAlias>
        <IsConverted>false</IsConverted>
        <LegalEntityRegisteredNameID>2968236</LegalEntityRegisteredNameID>
        <LegalEntityNameID>94017610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לוי (אדם שמונה לו אפוטרופוס)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המרכז הישראלי לאפוטרופסות- ירושלים</FullName>
        <LastName>המרכז הישראלי לאפוטרופסות- ירושלים</LastName>
        <PartyPropertyName/>
        <AuthenticationTypeAndNumber>גופים על פי דין 513436333</AuthenticationTypeAndNumber>
        <RepresentatedOrRepresentativesNames/>
        <RepresentatedOrRepresentativesCount>0</RepresentatedOrRepresentativesCount>
        <InvitedBy/>
        <CaseID>79784144</CaseID>
        <CaseJudicialPersonPresentationDS>
          <CaseJudicalPersonActive>
            <CaseID>79784144</CaseID>
            <JudicialPersonID>033663675@GOV.IL</JudicialPersonID>
            <JudicialPersonTypeID>1</JudicialPersonTypeID>
            <JudicialTypeID>1</JudicialTypeID>
            <IsChairman>false</IsChairman>
            <TreatmentStartDate>2022-11-29T11:16:13.237+02:00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270390470</CasePartyID>
        <PartyTypeID>1</PartyTypeID>
        <ActivityStatusID>1</ActivityStatusID>
        <PartyAliasID>4</PartyAliasID>
        <PartyAliasName>משיב</PartyAliasName>
        <OrdinalNumber>5</OrdinalNumber>
        <LegalEntityID>15868591</LegalEntityID>
        <CaseLegalEntityID>128948322</CaseLegalEntityID>
        <AuthenticationTypeID>17</AuthenticationTypeID>
        <AuthenticationTypeName>גופים על פי דין</AuthenticationTypeName>
        <LegalEntityNumber>513436333</LegalEntityNumber>
        <IsMainPartyType>true</IsMainPartyType>
        <CaseDisplayIdentifier>64801-11-22</CaseDisplayIdentifier>
        <CaseTypeID>10045</CaseTypeID>
        <CaseTypeName>אפוטרופסות (א"פ)</CaseTypeName>
        <CaseName>לוי ואח' נ' האפוטרופוס הכללי במחוז ירושלים ואח'</CaseName>
        <FullAddress>כנפי נשרים 13 ירושלים בית ענבר קומה 3</FullAddress>
        <MotionID>0</MotionID>
        <CasePleaID>0</CasePleaID>
        <LinkedCaseID>0</LinkedCaseID>
        <PartyID>2</PartyID>
        <CasePartyCategoryID>2</CasePartyCategoryID>
        <LegalEntityAddressID>77995413</LegalEntityAddressID>
        <PleaTypeID>5</PleaTypeID>
        <GroupPartyAlias>משיבים</GroupPartyAlias>
        <IsConverted>false</IsConverted>
        <LegalEntityRegisteredNameID>9410751</LegalEntityRegisteredNameID>
        <RepresentatedNamesOfAssistant/>
        <LegalEntityTypeID>3</LegalEntityTypeID>
        <IsVerdictExists>false</IsVerdictExists>
        <IsAsirAzir>false</IsAsirAzir>
        <IsPublicationProhibited>false</IsPublicationProhibited>
        <PublicationProhibitedFullName>המרכז הישראלי לאפוטרופסות- ירושלים</PublicationProhibitedFullName>
      </CaseParties>
    </CasePartiesSelectionDS>
    <CaseName>לוי ואח' נ' האפוטרופוס הכללי במחוז ירושלים ואח'</CaseName>
    <CaseDisplayIdentifier>64801-11-22</CaseDisplayIdentifier>
    <CaseInterestID>10606</CaseInterestID>
    <CaseTypeShortName>א"פ</CaseTypeShortName>
  </dt_DecisionCase>
  <dt_DecisionJudgePanel>
    <JudgeID>033663675@GOV.IL</JudgeID>
    <DisplayName>הילה גלבוע</DisplayName>
    <RoleName>שופט</RoleName>
    <UserTitleName>שופטת</UserTitleName>
  </dt_DecisionJudgePanel>
  <dt_LegalEntityDetails>
    <Fax>03-6089911</Fax>
    <Phone>03-6089803</Phone>
    <PartyID>2</PartyID>
    <PartyTypeID>2</PartyTypeID>
    <DecisionID>0</DecisionID>
    <StreetName>יגאל אלון 98</StreetName>
    <ZipCode>67891</ZipCode>
    <CityName>תל אביב -יפו</CityName>
    <FullName>אבישי חלפון</FullName>
    <Email>meggy.hason@goldfarb.com</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02-6255510</Fax>
    <Phone>02-6255550</Phone>
    <AddressDesc/>
    <PartyID>2</PartyID>
    <PartyTypeID>2</PartyTypeID>
    <DecisionID>0</DecisionID>
    <StreetName>קרן היסוד 36</StreetName>
    <ZipCode>92149</ZipCode>
    <CityName>ירושלים</CityName>
    <FullName>מיכל קורינאלדי כ</FullName>
    <Email>michal@corinaldi.co.il</Email>
    <IsPublicationProhibited>false</IsPublicationProhibited>
  </dt_LegalEntityDetails>
  <dt_LegalEntityDetails>
    <PartyTypeID>4</PartyTypeID>
    <DecisionID>0</DecisionID>
    <IsPublicationProhibited>false</IsPublicationProhibited>
  </dt_LegalEntityDetails>
  <dt_LegalEntityDetails>
    <Phone>02-6239300</Phone>
    <AddressDesc>משרד עוה"ד ארנון, תדמור - לוי </AddressDesc>
    <PartyID>1</PartyID>
    <PartyTypeID>1</PartyTypeID>
    <DecisionID>0</DecisionID>
    <StreetName>הלל 31</StreetName>
    <FullName>עזרא לוי </FullName>
    <IsPublicationProhibited>false</IsPublicationProhibited>
  </dt_LegalEntityDetails>
  <dt_LegalEntityDetails>
    <Fax>02-6239314</Fax>
    <Phone>02-6239239</Phone>
    <AddressDesc>ת.ד 69</AddressDesc>
    <PartyID>1</PartyID>
    <PartyTypeID>2</PartyTypeID>
    <DecisionID>0</DecisionID>
    <StreetName>הלל 31</StreetName>
    <ZipCode>9458131</ZipCode>
    <CityName>ירושלים</CityName>
    <FullName>נחמיה אנגלמן</FullName>
    <Email>court@arnon.co.il</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Phone>02-6239300</Phone>
    <AddressDesc>משרד עוה"ד ארנון, תדמור - לוי </AddressDesc>
    <PartyID>1</PartyID>
    <PartyTypeID>1</PartyTypeID>
    <DecisionID>0</DecisionID>
    <StreetName>הלל 31</StreetName>
    <FullName>שלמה  לוי </FullName>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AddressDesc>הגבעה הצרפתית</AddressDesc>
    <PartyID>1</PartyID>
    <PartyTypeID>1</PartyTypeID>
    <DecisionID>0</DecisionID>
    <StreetName>מבוא פלים 26</StreetName>
    <CityName>ירושלים</CityName>
    <FullName>יפה  לוי חקיקאן </FullName>
    <IsPublicationProhibited>false</IsPublicationProhibited>
  </dt_LegalEntityDetails>
  <dt_LegalEntityDetails>
    <AddressDesc>דוד לוי </AddressDesc>
    <PartyID>2</PartyID>
    <PartyTypeID>1</PartyTypeID>
    <DecisionID>0</DecisionID>
    <StreetName>רח' המשורר אצ"ג 18/5</StreetName>
    <FullName>דוד  לוי</FullName>
    <IsPublicationProhibited>false</IsPublicationProhibited>
  </dt_LegalEntityDetails>
  <dt_LegalEntityDetails>
    <Phone>02-6239300</Phone>
    <PartyID>1</PartyID>
    <PartyTypeID>1</PartyTypeID>
    <DecisionID>0</DecisionID>
    <StreetName>מעלות כיסופים 17 </StreetName>
    <CityName>ירושלים</CityName>
    <FullName>אמנון  לוי </FullName>
    <IsPublicationProhibited>false</IsPublicationProhibited>
  </dt_LegalEntityDetails>
  <dt_LegalEntityDetails>
    <PartyID>2</PartyID>
    <PartyTypeID>1</PartyTypeID>
    <DecisionID>0</DecisionID>
    <FullName>רבקה לוי</FullName>
    <IsPublicationProhibited>false</IsPublicationProhibited>
  </dt_LegalEntityDetails>
  <dt_LegalEntityDetails>
    <Fax>02-6722282</Fax>
    <Phone>02-6727024</Phone>
    <AddressDesc>בית ענבר קומה 3</AddressDesc>
    <PartyID>2</PartyID>
    <PartyTypeID>1</PartyTypeID>
    <DecisionID>0</DecisionID>
    <StreetName>כנפי נשרים 13</StreetName>
    <CityName>ירושלים</CityName>
    <FullName> המרכז הישראלי לאפוטרופסות- ירושלים</FullName>
    <IsPublicationProhibited>false</IsPublicationProhibited>
  </dt_LegalEntityDetails>
  <dt_CaseJudicalPersonActive>
    <CaseJudicalPerson>שופטת הילה גלבוע</CaseJudicalPerson>
  </dt_CaseJudicalPersonActive>
  <dt_Sitting>
    <FutureSittingDate>2024-06-20T11:30:00+03:00</FutureSittingDate>
    <PreviousMeetingDate>2024-05-16T11:30:00+03:00</PreviousMeetingDate>
    <NextSittingTypeID>5</NextSittingTypeID>
    <PreviousSittingTypeID>3</PreviousSittingTypeID>
    <NextMeetingDisplayName>שופטת הילה גלבוע</NextMeetingDisplayName>
    <NextMeetingRoleName>שופט</NextMeetingRoleName>
    <NextMeetingUserTitleName>שופטת</NextMeetingUserTitleName>
    <NextMeetingUserUPN>033663675@GOV.IL</NextMeetingUserUPN>
    <PreviousMeetingDisplayName>שופטת הילה גלבוע</PreviousMeetingDisplayName>
    <PreviousMeetingRoleName>שופט</PreviousMeetingRoleName>
    <PreviousMeetingUserTitleName>שופטת</PreviousMeetingUserTitleName>
    <PreviousMeetingUserUPN>033663675@GOV.IL</PreviousMeetingUserUPN>
  </dt_Sitting>
  <dt_InMatterOfCase>
    <InMatterOfCaseID>109221</InMatterOfCaseID>
    <AuthenticationTypeID>1</AuthenticationTypeID>
    <AuthenticationNumber>000898221</AuthenticationNumber>
    <FirstName>רבקה</FirstName>
    <LastName>לוי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8073-09DD-4C11-955B-C87B7B80A6B5}">
  <ds:schemaRefs/>
</ds:datastoreItem>
</file>

<file path=customXml/itemProps2.xml><?xml version="1.0" encoding="utf-8"?>
<ds:datastoreItem xmlns:ds="http://schemas.openxmlformats.org/officeDocument/2006/customXml" ds:itemID="{545053CE-F7C1-4761-85C3-AF9A6025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4682</Words>
  <Characters>23414</Characters>
  <Application>Microsoft Office Word</Application>
  <DocSecurity>0</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2024-07-02T06:45:00Z</dcterms:created>
  <dcterms:modified xsi:type="dcterms:W3CDTF">2024-07-02T06:45:00Z</dcterms:modified>
</cp:coreProperties>
</file>